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B4AD" w14:textId="5A3D2449" w:rsidR="004130F1" w:rsidRPr="004130F1" w:rsidRDefault="00C834C9" w:rsidP="004130F1">
      <w:pPr>
        <w:pStyle w:val="Heading1"/>
        <w:rPr>
          <w:b/>
          <w:bCs/>
        </w:rPr>
      </w:pPr>
      <w:r>
        <w:rPr>
          <w:b/>
          <w:bCs/>
        </w:rPr>
        <w:t xml:space="preserve">Digital Pharmacy </w:t>
      </w:r>
      <w:r w:rsidR="004130F1">
        <w:rPr>
          <w:b/>
          <w:bCs/>
        </w:rPr>
        <w:t xml:space="preserve">Expert Advisory Group </w:t>
      </w:r>
      <w:r>
        <w:rPr>
          <w:b/>
          <w:bCs/>
        </w:rPr>
        <w:t>Agenda</w:t>
      </w:r>
    </w:p>
    <w:p w14:paraId="12B60380" w14:textId="77777777" w:rsidR="00F50519" w:rsidRDefault="00F50519" w:rsidP="004130F1">
      <w:pPr>
        <w:spacing w:after="0"/>
        <w:rPr>
          <w:b/>
          <w:bCs/>
          <w:sz w:val="28"/>
          <w:szCs w:val="28"/>
        </w:rPr>
      </w:pPr>
    </w:p>
    <w:p w14:paraId="57081AE7" w14:textId="616C4C3F" w:rsidR="00F27759" w:rsidRDefault="00BC7B81" w:rsidP="004130F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CE3D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23 January</w:t>
      </w:r>
      <w:r w:rsidR="001A4A8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13</w:t>
      </w:r>
      <w:r w:rsidR="007071EA">
        <w:rPr>
          <w:b/>
          <w:bCs/>
          <w:sz w:val="28"/>
          <w:szCs w:val="28"/>
        </w:rPr>
        <w:t>.30</w:t>
      </w:r>
      <w:r>
        <w:rPr>
          <w:b/>
          <w:bCs/>
          <w:sz w:val="28"/>
          <w:szCs w:val="28"/>
        </w:rPr>
        <w:t>p</w:t>
      </w:r>
      <w:r w:rsidR="00CE3DB5">
        <w:rPr>
          <w:b/>
          <w:bCs/>
          <w:sz w:val="28"/>
          <w:szCs w:val="28"/>
        </w:rPr>
        <w:t>m-1</w:t>
      </w:r>
      <w:r>
        <w:rPr>
          <w:b/>
          <w:bCs/>
          <w:sz w:val="28"/>
          <w:szCs w:val="28"/>
        </w:rPr>
        <w:t>5.00pm</w:t>
      </w:r>
    </w:p>
    <w:p w14:paraId="68B4FE92" w14:textId="467DB60F" w:rsidR="00DF3416" w:rsidRDefault="00F27759" w:rsidP="00BC7B81">
      <w:pPr>
        <w:rPr>
          <w:b/>
          <w:bCs/>
        </w:rPr>
      </w:pPr>
      <w:r w:rsidRPr="00977484">
        <w:rPr>
          <w:b/>
          <w:bCs/>
        </w:rPr>
        <w:t>By Zoom</w:t>
      </w:r>
      <w:r w:rsidR="00977484" w:rsidRPr="00977484">
        <w:rPr>
          <w:b/>
          <w:bCs/>
        </w:rPr>
        <w:t xml:space="preserve"> – calendar invite sent to Group members and speakers</w:t>
      </w:r>
      <w:r w:rsidR="00F50519">
        <w:rPr>
          <w:b/>
          <w:bCs/>
        </w:rPr>
        <w:t>:</w:t>
      </w:r>
    </w:p>
    <w:p w14:paraId="573A85D2" w14:textId="77777777" w:rsidR="00F50519" w:rsidRDefault="00000000" w:rsidP="00F50519">
      <w:pPr>
        <w:rPr>
          <w:rFonts w:ascii="Arial" w:hAnsi="Arial" w:cs="Arial"/>
        </w:rPr>
      </w:pPr>
      <w:hyperlink r:id="rId7" w:history="1">
        <w:r w:rsidR="00F50519">
          <w:rPr>
            <w:rStyle w:val="Hyperlink"/>
            <w:rFonts w:ascii="Arial" w:hAnsi="Arial" w:cs="Arial"/>
          </w:rPr>
          <w:t>https://rpharms.zoom.us/j/93795587145?pwd=YndmQTVla3lFSjQ2T0c1UFdUNFpOZz09</w:t>
        </w:r>
      </w:hyperlink>
    </w:p>
    <w:p w14:paraId="671EF214" w14:textId="6D539C98" w:rsidR="004130F1" w:rsidRPr="004130F1" w:rsidRDefault="0004414A" w:rsidP="004130F1">
      <w:pPr>
        <w:pStyle w:val="Heading2"/>
        <w:pBdr>
          <w:bottom w:val="single" w:sz="4" w:space="1" w:color="auto"/>
        </w:pBdr>
        <w:shd w:val="clear" w:color="auto" w:fill="DEEAF6" w:themeFill="accent5" w:themeFillTint="3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1: </w:t>
      </w:r>
      <w:r w:rsidR="004130F1" w:rsidRPr="004130F1">
        <w:rPr>
          <w:b/>
          <w:bCs/>
          <w:color w:val="000000" w:themeColor="text1"/>
        </w:rPr>
        <w:t>Recognition</w:t>
      </w:r>
    </w:p>
    <w:p w14:paraId="1772B2B0" w14:textId="6520261F" w:rsidR="1543C3E0" w:rsidRDefault="004130F1" w:rsidP="00D84714">
      <w:pPr>
        <w:spacing w:after="0"/>
        <w:rPr>
          <w:b/>
          <w:bCs/>
        </w:rPr>
      </w:pPr>
      <w:r w:rsidRPr="00497F3A">
        <w:rPr>
          <w:b/>
          <w:bCs/>
        </w:rPr>
        <w:t xml:space="preserve">Introductions, </w:t>
      </w:r>
      <w:proofErr w:type="gramStart"/>
      <w:r w:rsidRPr="00497F3A">
        <w:rPr>
          <w:b/>
          <w:bCs/>
        </w:rPr>
        <w:t>apologies</w:t>
      </w:r>
      <w:proofErr w:type="gramEnd"/>
      <w:r w:rsidRPr="00497F3A">
        <w:rPr>
          <w:b/>
          <w:bCs/>
        </w:rPr>
        <w:t xml:space="preserve"> and declarations of interest</w:t>
      </w:r>
      <w:r w:rsidR="00053BC1">
        <w:rPr>
          <w:b/>
          <w:bCs/>
        </w:rPr>
        <w:t xml:space="preserve"> (</w:t>
      </w:r>
      <w:r w:rsidR="00CE3DB5">
        <w:rPr>
          <w:b/>
          <w:bCs/>
        </w:rPr>
        <w:t>1</w:t>
      </w:r>
      <w:r w:rsidR="00BC7B81">
        <w:rPr>
          <w:b/>
          <w:bCs/>
        </w:rPr>
        <w:t>3</w:t>
      </w:r>
      <w:r w:rsidR="00053BC1">
        <w:rPr>
          <w:b/>
          <w:bCs/>
        </w:rPr>
        <w:t>.30-</w:t>
      </w:r>
      <w:r w:rsidR="00CE3DB5">
        <w:rPr>
          <w:b/>
          <w:bCs/>
        </w:rPr>
        <w:t>1</w:t>
      </w:r>
      <w:r w:rsidR="00BC7B81">
        <w:rPr>
          <w:b/>
          <w:bCs/>
        </w:rPr>
        <w:t>3</w:t>
      </w:r>
      <w:r w:rsidR="00053BC1">
        <w:rPr>
          <w:b/>
          <w:bCs/>
        </w:rPr>
        <w:t>.35)</w:t>
      </w:r>
    </w:p>
    <w:p w14:paraId="4434F494" w14:textId="3E97AFE0" w:rsidR="00E326BB" w:rsidRDefault="00E326BB" w:rsidP="00D84714">
      <w:pPr>
        <w:spacing w:after="0"/>
        <w:rPr>
          <w:b/>
          <w:bCs/>
        </w:rPr>
      </w:pPr>
    </w:p>
    <w:p w14:paraId="5AD9DF95" w14:textId="30A425A4" w:rsidR="006F2AC8" w:rsidRDefault="00E326BB" w:rsidP="00D84714">
      <w:pPr>
        <w:spacing w:after="0"/>
      </w:pPr>
      <w:r>
        <w:rPr>
          <w:b/>
          <w:bCs/>
        </w:rPr>
        <w:t xml:space="preserve">Present: </w:t>
      </w:r>
    </w:p>
    <w:p w14:paraId="67B6B7CC" w14:textId="77777777" w:rsidR="0002322D" w:rsidRDefault="0002322D" w:rsidP="00D84714">
      <w:pPr>
        <w:spacing w:after="0"/>
        <w:rPr>
          <w:b/>
          <w:bCs/>
        </w:rPr>
      </w:pPr>
    </w:p>
    <w:p w14:paraId="36E6BE67" w14:textId="7241F73C" w:rsidR="00E326BB" w:rsidRDefault="008E2B6F" w:rsidP="00D84714">
      <w:pPr>
        <w:spacing w:after="0"/>
      </w:pPr>
      <w:r>
        <w:rPr>
          <w:b/>
          <w:bCs/>
        </w:rPr>
        <w:t xml:space="preserve">Staff: </w:t>
      </w:r>
    </w:p>
    <w:p w14:paraId="42B3053A" w14:textId="77777777" w:rsidR="006F2AC8" w:rsidRPr="008E2B6F" w:rsidRDefault="006F2AC8" w:rsidP="00D84714">
      <w:pPr>
        <w:spacing w:after="0"/>
        <w:rPr>
          <w:b/>
          <w:bCs/>
        </w:rPr>
      </w:pPr>
    </w:p>
    <w:p w14:paraId="73BABFDB" w14:textId="7F18B76E" w:rsidR="00E326BB" w:rsidRDefault="00E326BB" w:rsidP="0002322D">
      <w:pPr>
        <w:spacing w:after="0"/>
        <w:rPr>
          <w:b/>
          <w:bCs/>
        </w:rPr>
      </w:pPr>
      <w:r>
        <w:rPr>
          <w:b/>
          <w:bCs/>
        </w:rPr>
        <w:t xml:space="preserve">Apologies: </w:t>
      </w:r>
    </w:p>
    <w:p w14:paraId="3EFDF469" w14:textId="77777777" w:rsidR="00D84714" w:rsidRPr="00D84714" w:rsidRDefault="00D84714" w:rsidP="00D84714">
      <w:pPr>
        <w:spacing w:after="0"/>
        <w:rPr>
          <w:b/>
          <w:bCs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65"/>
        <w:gridCol w:w="4726"/>
        <w:gridCol w:w="2925"/>
      </w:tblGrid>
      <w:tr w:rsidR="00C90D6E" w14:paraId="3900267A" w14:textId="77777777" w:rsidTr="2C4AE35A">
        <w:trPr>
          <w:trHeight w:val="265"/>
        </w:trPr>
        <w:tc>
          <w:tcPr>
            <w:tcW w:w="1365" w:type="dxa"/>
            <w:shd w:val="clear" w:color="auto" w:fill="DEEAF6" w:themeFill="accent5" w:themeFillTint="33"/>
          </w:tcPr>
          <w:p w14:paraId="1AF2A6EA" w14:textId="5B2CF9D7" w:rsidR="00C90D6E" w:rsidRPr="00C90D6E" w:rsidRDefault="00DC20FA" w:rsidP="00487FE2">
            <w:pPr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4726" w:type="dxa"/>
            <w:shd w:val="clear" w:color="auto" w:fill="DEEAF6" w:themeFill="accent5" w:themeFillTint="33"/>
          </w:tcPr>
          <w:p w14:paraId="18E90996" w14:textId="7A4F4DC0" w:rsidR="00C90D6E" w:rsidRPr="00C90D6E" w:rsidRDefault="00F84257" w:rsidP="00487FE2">
            <w:pPr>
              <w:rPr>
                <w:b/>
                <w:bCs/>
              </w:rPr>
            </w:pPr>
            <w:r>
              <w:rPr>
                <w:b/>
                <w:bCs/>
              </w:rPr>
              <w:t>Update from previous meeting</w:t>
            </w:r>
          </w:p>
        </w:tc>
        <w:tc>
          <w:tcPr>
            <w:tcW w:w="2925" w:type="dxa"/>
            <w:shd w:val="clear" w:color="auto" w:fill="DEEAF6" w:themeFill="accent5" w:themeFillTint="33"/>
          </w:tcPr>
          <w:p w14:paraId="69FA0E36" w14:textId="42B0010B" w:rsidR="00C90D6E" w:rsidRPr="00C90D6E" w:rsidRDefault="00CE3DB5" w:rsidP="00487FE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72878">
              <w:rPr>
                <w:b/>
                <w:bCs/>
              </w:rPr>
              <w:t>3</w:t>
            </w:r>
            <w:r w:rsidR="00D84714">
              <w:rPr>
                <w:b/>
                <w:bCs/>
              </w:rPr>
              <w:t>.3</w:t>
            </w:r>
            <w:r w:rsidR="00053BC1">
              <w:rPr>
                <w:b/>
                <w:bCs/>
              </w:rPr>
              <w:t>5</w:t>
            </w:r>
            <w:r w:rsidR="00D84714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="00A72878">
              <w:rPr>
                <w:b/>
                <w:bCs/>
              </w:rPr>
              <w:t>3</w:t>
            </w:r>
            <w:r w:rsidR="00D84714">
              <w:rPr>
                <w:b/>
                <w:bCs/>
              </w:rPr>
              <w:t>.</w:t>
            </w:r>
            <w:r w:rsidR="00554F7C">
              <w:rPr>
                <w:b/>
                <w:bCs/>
              </w:rPr>
              <w:t>4</w:t>
            </w:r>
            <w:r w:rsidR="00A72878">
              <w:rPr>
                <w:b/>
                <w:bCs/>
              </w:rPr>
              <w:t>0</w:t>
            </w:r>
          </w:p>
        </w:tc>
      </w:tr>
      <w:tr w:rsidR="0004414A" w14:paraId="6FD97CD4" w14:textId="77777777" w:rsidTr="2C4AE35A">
        <w:trPr>
          <w:trHeight w:val="966"/>
        </w:trPr>
        <w:tc>
          <w:tcPr>
            <w:tcW w:w="1365" w:type="dxa"/>
          </w:tcPr>
          <w:p w14:paraId="55D0EFA2" w14:textId="77777777" w:rsidR="0004414A" w:rsidRPr="00C90D6E" w:rsidRDefault="0004414A" w:rsidP="00487FE2">
            <w:pPr>
              <w:rPr>
                <w:b/>
                <w:bCs/>
              </w:rPr>
            </w:pPr>
            <w:r w:rsidRPr="00C90D6E">
              <w:rPr>
                <w:b/>
                <w:bCs/>
              </w:rPr>
              <w:t>Description</w:t>
            </w:r>
          </w:p>
        </w:tc>
        <w:tc>
          <w:tcPr>
            <w:tcW w:w="7651" w:type="dxa"/>
            <w:gridSpan w:val="2"/>
          </w:tcPr>
          <w:p w14:paraId="4B860779" w14:textId="04CB1CC8" w:rsidR="00EC2F72" w:rsidRDefault="00EC2F72" w:rsidP="00DD5BE4">
            <w:r>
              <w:t xml:space="preserve">Agendas and outcomes from previous meetings </w:t>
            </w:r>
            <w:r w:rsidR="001A4A8D">
              <w:t>are published on the group’s webpage at:</w:t>
            </w:r>
            <w:r w:rsidR="00F84257">
              <w:t xml:space="preserve"> </w:t>
            </w:r>
            <w:hyperlink r:id="rId8" w:history="1">
              <w:r w:rsidRPr="0017359A">
                <w:rPr>
                  <w:rStyle w:val="Hyperlink"/>
                </w:rPr>
                <w:t>https://www.rpharms.com/about-us/who-we-are/expert-advisors/digital-pharmacy-expert-advisory-group</w:t>
              </w:r>
            </w:hyperlink>
            <w:r>
              <w:t xml:space="preserve"> </w:t>
            </w:r>
          </w:p>
        </w:tc>
      </w:tr>
      <w:tr w:rsidR="0004414A" w14:paraId="6A3D727C" w14:textId="77777777" w:rsidTr="2C4AE35A">
        <w:trPr>
          <w:trHeight w:val="371"/>
        </w:trPr>
        <w:tc>
          <w:tcPr>
            <w:tcW w:w="1365" w:type="dxa"/>
          </w:tcPr>
          <w:p w14:paraId="0596C2FC" w14:textId="77777777" w:rsidR="0004414A" w:rsidRPr="00C90D6E" w:rsidRDefault="0004414A" w:rsidP="00487FE2">
            <w:pPr>
              <w:rPr>
                <w:b/>
                <w:bCs/>
              </w:rPr>
            </w:pPr>
            <w:r w:rsidRPr="00C90D6E">
              <w:rPr>
                <w:b/>
                <w:bCs/>
              </w:rPr>
              <w:t>Purpose</w:t>
            </w:r>
          </w:p>
        </w:tc>
        <w:tc>
          <w:tcPr>
            <w:tcW w:w="7651" w:type="dxa"/>
            <w:gridSpan w:val="2"/>
          </w:tcPr>
          <w:p w14:paraId="03C2FBAB" w14:textId="50CE9B3F" w:rsidR="0004414A" w:rsidRDefault="00B26932" w:rsidP="00487FE2">
            <w:r>
              <w:t xml:space="preserve">To review </w:t>
            </w:r>
            <w:r w:rsidR="00FB1542">
              <w:t xml:space="preserve">the </w:t>
            </w:r>
            <w:r w:rsidR="00D8167B">
              <w:t>o</w:t>
            </w:r>
            <w:r>
              <w:t>utcomes</w:t>
            </w:r>
            <w:r w:rsidR="00EC2F72">
              <w:t xml:space="preserve"> and priorities</w:t>
            </w:r>
            <w:r>
              <w:t xml:space="preserve"> from last </w:t>
            </w:r>
            <w:r w:rsidR="00EC2F72">
              <w:t>meeting</w:t>
            </w:r>
          </w:p>
        </w:tc>
      </w:tr>
      <w:tr w:rsidR="00EE5930" w14:paraId="0EABA7E7" w14:textId="77777777" w:rsidTr="2C4AE35A">
        <w:trPr>
          <w:trHeight w:val="404"/>
        </w:trPr>
        <w:tc>
          <w:tcPr>
            <w:tcW w:w="1365" w:type="dxa"/>
          </w:tcPr>
          <w:p w14:paraId="5D5B966A" w14:textId="2C331F99" w:rsidR="00EE5930" w:rsidRPr="00C90D6E" w:rsidRDefault="00EE5930" w:rsidP="00487FE2">
            <w:pPr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  <w:r w:rsidR="00A442CD">
              <w:rPr>
                <w:b/>
                <w:bCs/>
              </w:rPr>
              <w:t>s</w:t>
            </w:r>
          </w:p>
        </w:tc>
        <w:tc>
          <w:tcPr>
            <w:tcW w:w="7651" w:type="dxa"/>
            <w:gridSpan w:val="2"/>
          </w:tcPr>
          <w:p w14:paraId="1DA644D7" w14:textId="6BB10D94" w:rsidR="00470C4A" w:rsidRDefault="00470C4A" w:rsidP="00AF2136">
            <w:pPr>
              <w:pStyle w:val="ListParagraph"/>
              <w:ind w:left="0"/>
            </w:pPr>
          </w:p>
        </w:tc>
      </w:tr>
    </w:tbl>
    <w:p w14:paraId="0A336755" w14:textId="4F008884" w:rsidR="00D2561F" w:rsidRDefault="00D2561F" w:rsidP="004130F1">
      <w:pPr>
        <w:spacing w:after="0"/>
      </w:pPr>
    </w:p>
    <w:p w14:paraId="5E50B15A" w14:textId="0BA32969" w:rsidR="004130F1" w:rsidRPr="004130F1" w:rsidRDefault="0004414A" w:rsidP="004130F1">
      <w:pPr>
        <w:pStyle w:val="Heading2"/>
        <w:pBdr>
          <w:bottom w:val="single" w:sz="4" w:space="1" w:color="auto"/>
        </w:pBdr>
        <w:shd w:val="clear" w:color="auto" w:fill="DEEAF6" w:themeFill="accent5" w:themeFillTint="3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2: </w:t>
      </w:r>
      <w:r w:rsidR="004130F1" w:rsidRPr="004130F1">
        <w:rPr>
          <w:b/>
          <w:bCs/>
          <w:color w:val="000000" w:themeColor="text1"/>
        </w:rPr>
        <w:t>Relevance</w:t>
      </w:r>
    </w:p>
    <w:p w14:paraId="449E9970" w14:textId="24999336" w:rsidR="002501B4" w:rsidRDefault="002501B4" w:rsidP="004130F1">
      <w:pPr>
        <w:spacing w:after="0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80"/>
        <w:gridCol w:w="4711"/>
        <w:gridCol w:w="2925"/>
      </w:tblGrid>
      <w:tr w:rsidR="00C90D6E" w14:paraId="25E98F4C" w14:textId="77777777" w:rsidTr="24701D7C">
        <w:trPr>
          <w:trHeight w:val="209"/>
        </w:trPr>
        <w:tc>
          <w:tcPr>
            <w:tcW w:w="1380" w:type="dxa"/>
            <w:shd w:val="clear" w:color="auto" w:fill="DEEAF6" w:themeFill="accent5" w:themeFillTint="33"/>
          </w:tcPr>
          <w:p w14:paraId="2685D910" w14:textId="704DF634" w:rsidR="00C90D6E" w:rsidRPr="00C90D6E" w:rsidRDefault="007E1598" w:rsidP="00C90D6E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38707E">
              <w:rPr>
                <w:b/>
                <w:bCs/>
              </w:rPr>
              <w:t>1</w:t>
            </w:r>
          </w:p>
        </w:tc>
        <w:tc>
          <w:tcPr>
            <w:tcW w:w="4711" w:type="dxa"/>
            <w:shd w:val="clear" w:color="auto" w:fill="DEEAF6" w:themeFill="accent5" w:themeFillTint="33"/>
          </w:tcPr>
          <w:p w14:paraId="79D19DB8" w14:textId="05D99679" w:rsidR="00C90D6E" w:rsidRPr="00C90D6E" w:rsidRDefault="00A72878" w:rsidP="00C90D6E">
            <w:pPr>
              <w:rPr>
                <w:b/>
                <w:bCs/>
              </w:rPr>
            </w:pPr>
            <w:r>
              <w:rPr>
                <w:b/>
                <w:bCs/>
              </w:rPr>
              <w:t>Locum access to NHS email (England only)</w:t>
            </w:r>
          </w:p>
        </w:tc>
        <w:tc>
          <w:tcPr>
            <w:tcW w:w="2925" w:type="dxa"/>
            <w:shd w:val="clear" w:color="auto" w:fill="DEEAF6" w:themeFill="accent5" w:themeFillTint="33"/>
          </w:tcPr>
          <w:p w14:paraId="77E4F720" w14:textId="7A4023FF" w:rsidR="00C90D6E" w:rsidRPr="00C90D6E" w:rsidRDefault="0038707E" w:rsidP="00C90D6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72878">
              <w:rPr>
                <w:b/>
                <w:bCs/>
              </w:rPr>
              <w:t>3</w:t>
            </w:r>
            <w:r>
              <w:rPr>
                <w:b/>
                <w:bCs/>
              </w:rPr>
              <w:t>.4</w:t>
            </w:r>
            <w:r w:rsidR="00A72878">
              <w:rPr>
                <w:b/>
                <w:bCs/>
              </w:rPr>
              <w:t>0</w:t>
            </w:r>
            <w:r w:rsidR="00DD5BE4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="00A72878">
              <w:rPr>
                <w:b/>
                <w:bCs/>
              </w:rPr>
              <w:t>4</w:t>
            </w:r>
            <w:r>
              <w:rPr>
                <w:b/>
                <w:bCs/>
              </w:rPr>
              <w:t>.00</w:t>
            </w:r>
          </w:p>
        </w:tc>
      </w:tr>
      <w:tr w:rsidR="00C90D6E" w14:paraId="0A7DE4A8" w14:textId="77777777" w:rsidTr="24701D7C">
        <w:trPr>
          <w:trHeight w:val="990"/>
        </w:trPr>
        <w:tc>
          <w:tcPr>
            <w:tcW w:w="1380" w:type="dxa"/>
            <w:shd w:val="clear" w:color="auto" w:fill="auto"/>
          </w:tcPr>
          <w:p w14:paraId="0C2B1614" w14:textId="77777777" w:rsidR="00C90D6E" w:rsidRPr="002A334F" w:rsidRDefault="00C90D6E" w:rsidP="00C90D6E">
            <w:pPr>
              <w:rPr>
                <w:b/>
                <w:bCs/>
              </w:rPr>
            </w:pPr>
            <w:r w:rsidRPr="002A334F">
              <w:rPr>
                <w:b/>
                <w:bCs/>
              </w:rPr>
              <w:t>Description</w:t>
            </w:r>
          </w:p>
        </w:tc>
        <w:tc>
          <w:tcPr>
            <w:tcW w:w="7636" w:type="dxa"/>
            <w:gridSpan w:val="2"/>
            <w:shd w:val="clear" w:color="auto" w:fill="auto"/>
          </w:tcPr>
          <w:p w14:paraId="5C62DA34" w14:textId="5674E2E9" w:rsidR="00C5129B" w:rsidRDefault="00A72878" w:rsidP="00C5129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The </w:t>
            </w:r>
            <w:r w:rsidR="00C5129B">
              <w:rPr>
                <w:color w:val="000000"/>
                <w:sz w:val="24"/>
                <w:szCs w:val="24"/>
                <w:shd w:val="clear" w:color="auto" w:fill="FFFFFF"/>
              </w:rPr>
              <w:t>RPS English Phar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macy </w:t>
            </w:r>
            <w:r w:rsidR="00C5129B">
              <w:rPr>
                <w:color w:val="000000"/>
                <w:sz w:val="24"/>
                <w:szCs w:val="24"/>
                <w:shd w:val="clear" w:color="auto" w:fill="FFFFFF"/>
              </w:rPr>
              <w:t xml:space="preserve">Board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has </w:t>
            </w:r>
            <w:r w:rsidR="00C5129B">
              <w:rPr>
                <w:color w:val="000000"/>
                <w:sz w:val="24"/>
                <w:szCs w:val="24"/>
                <w:shd w:val="clear" w:color="auto" w:fill="FFFFFF"/>
              </w:rPr>
              <w:t xml:space="preserve">raised the issue of locum pharmacists having access to NHS mail. There is a centralised process, but it appears to be quite difficult to use and from what we understand it requires an employing organisation to sponsor a locum in order for them to receive an NHS email address. We have been told that the process for GP locums in England is a lot easier. We would like to discuss this at the DPEAG to understand what happens in each country and to potentially explore how the system could be improved for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locums</w:t>
            </w:r>
            <w:r w:rsidR="00C5129B">
              <w:rPr>
                <w:color w:val="000000"/>
                <w:sz w:val="24"/>
                <w:szCs w:val="24"/>
                <w:shd w:val="clear" w:color="auto" w:fill="FFFFFF"/>
              </w:rPr>
              <w:t xml:space="preserve"> as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C5129B">
              <w:rPr>
                <w:color w:val="000000"/>
                <w:sz w:val="24"/>
                <w:szCs w:val="24"/>
                <w:shd w:val="clear" w:color="auto" w:fill="FFFFFF"/>
              </w:rPr>
              <w:t>currently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they are</w:t>
            </w:r>
            <w:r w:rsidR="00C5129B">
              <w:rPr>
                <w:color w:val="000000"/>
                <w:sz w:val="24"/>
                <w:szCs w:val="24"/>
                <w:shd w:val="clear" w:color="auto" w:fill="FFFFFF"/>
              </w:rPr>
              <w:t xml:space="preserve"> not receiving information and intelligence to help them in their roles.</w:t>
            </w:r>
          </w:p>
          <w:p w14:paraId="5D31E78C" w14:textId="5E8CDD12" w:rsidR="00A72878" w:rsidRDefault="00A72878" w:rsidP="00C5129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5D09D501" w14:textId="0A9ED570" w:rsidR="00A72878" w:rsidRPr="00A72878" w:rsidRDefault="00A72878" w:rsidP="00C5129B">
            <w:pPr>
              <w:rPr>
                <w:b/>
                <w:bCs/>
              </w:rPr>
            </w:pPr>
            <w:r w:rsidRPr="00A7287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Heidi Wright, Practice and Policy Lead, England</w:t>
            </w:r>
          </w:p>
          <w:p w14:paraId="6BFAAAF8" w14:textId="5E2C165D" w:rsidR="00CE3DB5" w:rsidRPr="002A334F" w:rsidRDefault="00CE3DB5" w:rsidP="002A334F"/>
        </w:tc>
      </w:tr>
      <w:tr w:rsidR="00C90D6E" w14:paraId="5BC0AE4B" w14:textId="77777777" w:rsidTr="24701D7C">
        <w:trPr>
          <w:trHeight w:val="877"/>
        </w:trPr>
        <w:tc>
          <w:tcPr>
            <w:tcW w:w="1380" w:type="dxa"/>
          </w:tcPr>
          <w:p w14:paraId="1AB9BE8D" w14:textId="77777777" w:rsidR="00C90D6E" w:rsidRPr="00C90D6E" w:rsidRDefault="00C90D6E" w:rsidP="00C90D6E">
            <w:pPr>
              <w:rPr>
                <w:b/>
                <w:bCs/>
              </w:rPr>
            </w:pPr>
            <w:r w:rsidRPr="00C90D6E">
              <w:rPr>
                <w:b/>
                <w:bCs/>
              </w:rPr>
              <w:t>Purpose</w:t>
            </w:r>
          </w:p>
        </w:tc>
        <w:tc>
          <w:tcPr>
            <w:tcW w:w="7636" w:type="dxa"/>
            <w:gridSpan w:val="2"/>
          </w:tcPr>
          <w:p w14:paraId="33E6F01C" w14:textId="7F2D88CA" w:rsidR="00D8167B" w:rsidRDefault="00D8167B" w:rsidP="00D8167B">
            <w:r>
              <w:t xml:space="preserve">To </w:t>
            </w:r>
            <w:r w:rsidR="00A72878">
              <w:t>discuss the challenges for locums and to consider how to improve access to NHS mail.</w:t>
            </w:r>
          </w:p>
          <w:p w14:paraId="62CFDF91" w14:textId="10E5AEF0" w:rsidR="00CE3DB5" w:rsidRDefault="00CE3DB5" w:rsidP="00D8167B"/>
        </w:tc>
      </w:tr>
      <w:tr w:rsidR="00C90D6E" w14:paraId="13BA8ED3" w14:textId="77777777" w:rsidTr="24701D7C">
        <w:trPr>
          <w:trHeight w:val="406"/>
        </w:trPr>
        <w:tc>
          <w:tcPr>
            <w:tcW w:w="1380" w:type="dxa"/>
          </w:tcPr>
          <w:p w14:paraId="09EB4D50" w14:textId="512FB635" w:rsidR="00C90D6E" w:rsidRPr="00C90D6E" w:rsidRDefault="00990A5F" w:rsidP="00C90D6E">
            <w:pPr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  <w:r w:rsidRPr="00C90D6E">
              <w:rPr>
                <w:b/>
                <w:bCs/>
              </w:rPr>
              <w:t>s</w:t>
            </w:r>
          </w:p>
        </w:tc>
        <w:tc>
          <w:tcPr>
            <w:tcW w:w="7636" w:type="dxa"/>
            <w:gridSpan w:val="2"/>
          </w:tcPr>
          <w:p w14:paraId="2301B647" w14:textId="2F40BCCC" w:rsidR="007C2F28" w:rsidRPr="007C2F28" w:rsidRDefault="007C2F28" w:rsidP="00E54ADF"/>
        </w:tc>
      </w:tr>
    </w:tbl>
    <w:p w14:paraId="0BBDB304" w14:textId="5411FA18" w:rsidR="00A442CD" w:rsidRDefault="00A442CD" w:rsidP="004130F1">
      <w:pPr>
        <w:spacing w:after="0"/>
        <w:rPr>
          <w:rFonts w:ascii="Century Gothic" w:eastAsia="Times New Roman" w:hAnsi="Century Gothic"/>
          <w:color w:val="000000"/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80"/>
        <w:gridCol w:w="4711"/>
        <w:gridCol w:w="2925"/>
      </w:tblGrid>
      <w:tr w:rsidR="00F10FC8" w14:paraId="2E29E140" w14:textId="77777777" w:rsidTr="24701D7C">
        <w:trPr>
          <w:trHeight w:val="209"/>
        </w:trPr>
        <w:tc>
          <w:tcPr>
            <w:tcW w:w="1380" w:type="dxa"/>
            <w:shd w:val="clear" w:color="auto" w:fill="DEEAF6" w:themeFill="accent5" w:themeFillTint="33"/>
          </w:tcPr>
          <w:p w14:paraId="3B6B9446" w14:textId="6C154EA9" w:rsidR="00F10FC8" w:rsidRPr="00C90D6E" w:rsidRDefault="00F10FC8" w:rsidP="00F10FC8">
            <w:pPr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4711" w:type="dxa"/>
            <w:shd w:val="clear" w:color="auto" w:fill="DEEAF6" w:themeFill="accent5" w:themeFillTint="33"/>
          </w:tcPr>
          <w:p w14:paraId="292415A7" w14:textId="020B03EF" w:rsidR="00F10FC8" w:rsidRPr="00C90D6E" w:rsidRDefault="00F10FC8" w:rsidP="00F10FC8">
            <w:pPr>
              <w:rPr>
                <w:b/>
                <w:bCs/>
              </w:rPr>
            </w:pPr>
            <w:r>
              <w:rPr>
                <w:b/>
                <w:bCs/>
              </w:rPr>
              <w:t>NHS Digital</w:t>
            </w:r>
          </w:p>
        </w:tc>
        <w:tc>
          <w:tcPr>
            <w:tcW w:w="2925" w:type="dxa"/>
            <w:shd w:val="clear" w:color="auto" w:fill="DEEAF6" w:themeFill="accent5" w:themeFillTint="33"/>
          </w:tcPr>
          <w:p w14:paraId="685F6170" w14:textId="30E486B0" w:rsidR="00F10FC8" w:rsidRPr="00C90D6E" w:rsidRDefault="00F10FC8" w:rsidP="00F10FC8">
            <w:pPr>
              <w:rPr>
                <w:b/>
                <w:bCs/>
              </w:rPr>
            </w:pPr>
            <w:r>
              <w:rPr>
                <w:b/>
                <w:bCs/>
              </w:rPr>
              <w:t>14.00-14.15</w:t>
            </w:r>
          </w:p>
        </w:tc>
      </w:tr>
      <w:tr w:rsidR="00F10FC8" w14:paraId="4FC045E6" w14:textId="77777777" w:rsidTr="24701D7C">
        <w:trPr>
          <w:trHeight w:val="984"/>
        </w:trPr>
        <w:tc>
          <w:tcPr>
            <w:tcW w:w="1380" w:type="dxa"/>
          </w:tcPr>
          <w:p w14:paraId="17B32CBE" w14:textId="77777777" w:rsidR="00F10FC8" w:rsidRPr="00C90D6E" w:rsidRDefault="00F10FC8" w:rsidP="00F10FC8">
            <w:pPr>
              <w:rPr>
                <w:b/>
                <w:bCs/>
              </w:rPr>
            </w:pPr>
            <w:r w:rsidRPr="00C90D6E">
              <w:rPr>
                <w:b/>
                <w:bCs/>
              </w:rPr>
              <w:lastRenderedPageBreak/>
              <w:t>Description</w:t>
            </w:r>
          </w:p>
        </w:tc>
        <w:tc>
          <w:tcPr>
            <w:tcW w:w="7636" w:type="dxa"/>
            <w:gridSpan w:val="2"/>
          </w:tcPr>
          <w:p w14:paraId="19F24C54" w14:textId="77777777" w:rsidR="00F10FC8" w:rsidRDefault="00F10FC8" w:rsidP="00F10FC8">
            <w:r>
              <w:t xml:space="preserve">This session will provide the group with updates from NHS Digital. </w:t>
            </w:r>
          </w:p>
          <w:p w14:paraId="7F67030F" w14:textId="77777777" w:rsidR="00F10FC8" w:rsidRDefault="00F10FC8" w:rsidP="00F10FC8">
            <w:r>
              <w:t>Invited speaker:</w:t>
            </w:r>
          </w:p>
          <w:p w14:paraId="4FC83C5B" w14:textId="2DED60C5" w:rsidR="00F10FC8" w:rsidRPr="00FD18B4" w:rsidRDefault="00F10FC8" w:rsidP="00F10FC8">
            <w:r>
              <w:t>Paul Wright, NHS Digital Terminology Specialist</w:t>
            </w:r>
          </w:p>
        </w:tc>
      </w:tr>
      <w:tr w:rsidR="00F10FC8" w14:paraId="7787CFFB" w14:textId="77777777" w:rsidTr="00F10FC8">
        <w:trPr>
          <w:trHeight w:val="782"/>
        </w:trPr>
        <w:tc>
          <w:tcPr>
            <w:tcW w:w="1380" w:type="dxa"/>
          </w:tcPr>
          <w:p w14:paraId="1E467667" w14:textId="77777777" w:rsidR="00F10FC8" w:rsidRPr="00C90D6E" w:rsidRDefault="00F10FC8" w:rsidP="00F10FC8">
            <w:pPr>
              <w:rPr>
                <w:b/>
                <w:bCs/>
              </w:rPr>
            </w:pPr>
            <w:r w:rsidRPr="00C90D6E">
              <w:rPr>
                <w:b/>
                <w:bCs/>
              </w:rPr>
              <w:t>Purpose</w:t>
            </w:r>
          </w:p>
        </w:tc>
        <w:tc>
          <w:tcPr>
            <w:tcW w:w="7636" w:type="dxa"/>
            <w:gridSpan w:val="2"/>
          </w:tcPr>
          <w:p w14:paraId="10390BD6" w14:textId="50512FDA" w:rsidR="00F10FC8" w:rsidRDefault="00F10FC8" w:rsidP="00F10FC8">
            <w:r>
              <w:t>To be up to date with NHS Digital.</w:t>
            </w:r>
          </w:p>
        </w:tc>
      </w:tr>
      <w:tr w:rsidR="00F10FC8" w14:paraId="1D17E067" w14:textId="77777777" w:rsidTr="24701D7C">
        <w:trPr>
          <w:trHeight w:val="406"/>
        </w:trPr>
        <w:tc>
          <w:tcPr>
            <w:tcW w:w="1380" w:type="dxa"/>
          </w:tcPr>
          <w:p w14:paraId="3042B5B6" w14:textId="77777777" w:rsidR="00F10FC8" w:rsidRPr="00C90D6E" w:rsidRDefault="00F10FC8" w:rsidP="00F10FC8">
            <w:pPr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  <w:r w:rsidRPr="00C90D6E">
              <w:rPr>
                <w:b/>
                <w:bCs/>
              </w:rPr>
              <w:t>s</w:t>
            </w:r>
          </w:p>
        </w:tc>
        <w:tc>
          <w:tcPr>
            <w:tcW w:w="7636" w:type="dxa"/>
            <w:gridSpan w:val="2"/>
          </w:tcPr>
          <w:p w14:paraId="0A41E5C1" w14:textId="24170A6E" w:rsidR="00F10FC8" w:rsidRPr="00B3026F" w:rsidRDefault="00F10FC8" w:rsidP="00F10FC8">
            <w:pPr>
              <w:rPr>
                <w:b/>
                <w:bCs/>
              </w:rPr>
            </w:pPr>
          </w:p>
        </w:tc>
      </w:tr>
    </w:tbl>
    <w:p w14:paraId="2B9B9BFE" w14:textId="694F479C" w:rsidR="00D8167B" w:rsidRDefault="00D8167B" w:rsidP="00D8167B">
      <w:pPr>
        <w:spacing w:after="0"/>
        <w:rPr>
          <w:rFonts w:ascii="Century Gothic" w:eastAsia="Times New Roman" w:hAnsi="Century Gothic"/>
          <w:color w:val="000000"/>
          <w:sz w:val="20"/>
          <w:szCs w:val="20"/>
        </w:rPr>
      </w:pPr>
    </w:p>
    <w:p w14:paraId="217B29EE" w14:textId="0D04456A" w:rsidR="00D8167B" w:rsidRDefault="00D8167B" w:rsidP="00D8167B">
      <w:pPr>
        <w:spacing w:after="0"/>
        <w:rPr>
          <w:rFonts w:ascii="Century Gothic" w:eastAsia="Times New Roman" w:hAnsi="Century Gothic"/>
          <w:color w:val="000000"/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80"/>
        <w:gridCol w:w="4711"/>
        <w:gridCol w:w="2925"/>
      </w:tblGrid>
      <w:tr w:rsidR="00D8167B" w14:paraId="62202670" w14:textId="77777777" w:rsidTr="24701D7C">
        <w:trPr>
          <w:trHeight w:val="209"/>
        </w:trPr>
        <w:tc>
          <w:tcPr>
            <w:tcW w:w="1380" w:type="dxa"/>
            <w:shd w:val="clear" w:color="auto" w:fill="DEEAF6" w:themeFill="accent5" w:themeFillTint="33"/>
          </w:tcPr>
          <w:p w14:paraId="0BBC3B10" w14:textId="7B993AB7" w:rsidR="00D8167B" w:rsidRPr="00C90D6E" w:rsidRDefault="00D8167B" w:rsidP="00B412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4711" w:type="dxa"/>
            <w:shd w:val="clear" w:color="auto" w:fill="DEEAF6" w:themeFill="accent5" w:themeFillTint="33"/>
          </w:tcPr>
          <w:p w14:paraId="4F329BD8" w14:textId="77777777" w:rsidR="00D8167B" w:rsidRPr="00C90D6E" w:rsidRDefault="00D8167B" w:rsidP="000E6FCB">
            <w:pPr>
              <w:rPr>
                <w:b/>
                <w:bCs/>
              </w:rPr>
            </w:pPr>
            <w:r>
              <w:rPr>
                <w:b/>
                <w:bCs/>
              </w:rPr>
              <w:t>Subgroup updates</w:t>
            </w:r>
          </w:p>
        </w:tc>
        <w:tc>
          <w:tcPr>
            <w:tcW w:w="2925" w:type="dxa"/>
            <w:shd w:val="clear" w:color="auto" w:fill="DEEAF6" w:themeFill="accent5" w:themeFillTint="33"/>
          </w:tcPr>
          <w:p w14:paraId="63918ECC" w14:textId="44392631" w:rsidR="00D8167B" w:rsidRPr="00C90D6E" w:rsidRDefault="00D8167B" w:rsidP="000E6FC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10FC8">
              <w:rPr>
                <w:b/>
                <w:bCs/>
              </w:rPr>
              <w:t>4</w:t>
            </w:r>
            <w:r>
              <w:rPr>
                <w:b/>
                <w:bCs/>
              </w:rPr>
              <w:t>.15-1</w:t>
            </w:r>
            <w:r w:rsidR="00F10FC8">
              <w:rPr>
                <w:b/>
                <w:bCs/>
              </w:rPr>
              <w:t>4</w:t>
            </w:r>
            <w:r>
              <w:rPr>
                <w:b/>
                <w:bCs/>
              </w:rPr>
              <w:t>.30</w:t>
            </w:r>
          </w:p>
        </w:tc>
      </w:tr>
      <w:tr w:rsidR="00D8167B" w14:paraId="7C879E15" w14:textId="77777777" w:rsidTr="24701D7C">
        <w:trPr>
          <w:trHeight w:val="1539"/>
        </w:trPr>
        <w:tc>
          <w:tcPr>
            <w:tcW w:w="1380" w:type="dxa"/>
          </w:tcPr>
          <w:p w14:paraId="066F79F9" w14:textId="77777777" w:rsidR="00D8167B" w:rsidRPr="00C90D6E" w:rsidRDefault="00D8167B" w:rsidP="000E6FCB">
            <w:pPr>
              <w:rPr>
                <w:b/>
                <w:bCs/>
              </w:rPr>
            </w:pPr>
            <w:r w:rsidRPr="00C90D6E">
              <w:rPr>
                <w:b/>
                <w:bCs/>
              </w:rPr>
              <w:t>Description</w:t>
            </w:r>
          </w:p>
        </w:tc>
        <w:tc>
          <w:tcPr>
            <w:tcW w:w="7636" w:type="dxa"/>
            <w:gridSpan w:val="2"/>
          </w:tcPr>
          <w:p w14:paraId="7DA6EC6B" w14:textId="77777777" w:rsidR="00D8167B" w:rsidRPr="00E77F14" w:rsidRDefault="00D8167B" w:rsidP="000E6FCB">
            <w:r>
              <w:t>The</w:t>
            </w:r>
            <w:r w:rsidRPr="00E77F14">
              <w:t xml:space="preserve"> Digital Pharmacy EAG subgroups </w:t>
            </w:r>
            <w:r>
              <w:t xml:space="preserve">has the following subgroups: </w:t>
            </w:r>
            <w:r w:rsidRPr="00E77F14">
              <w:t>to discuss their priorities and workplans:</w:t>
            </w:r>
          </w:p>
          <w:p w14:paraId="07C8B019" w14:textId="77777777" w:rsidR="00D8167B" w:rsidRPr="00E77F14" w:rsidRDefault="24701D7C" w:rsidP="000E6FCB">
            <w:pPr>
              <w:pStyle w:val="ListParagraph"/>
              <w:numPr>
                <w:ilvl w:val="0"/>
                <w:numId w:val="6"/>
              </w:numPr>
            </w:pPr>
            <w:r>
              <w:t>Technologies subgroup</w:t>
            </w:r>
          </w:p>
          <w:p w14:paraId="39185FDC" w14:textId="77777777" w:rsidR="00D8167B" w:rsidRPr="00E77F14" w:rsidRDefault="24701D7C" w:rsidP="000E6FCB">
            <w:pPr>
              <w:pStyle w:val="ListParagraph"/>
              <w:numPr>
                <w:ilvl w:val="0"/>
                <w:numId w:val="6"/>
              </w:numPr>
            </w:pPr>
            <w:r>
              <w:t>Medicines Record subgroup</w:t>
            </w:r>
          </w:p>
          <w:p w14:paraId="77225E46" w14:textId="77777777" w:rsidR="00D8167B" w:rsidRPr="00E77F14" w:rsidRDefault="24701D7C" w:rsidP="24701D7C">
            <w:pPr>
              <w:pStyle w:val="ListParagraph"/>
              <w:numPr>
                <w:ilvl w:val="0"/>
                <w:numId w:val="6"/>
              </w:numPr>
              <w:rPr>
                <w:i/>
                <w:iCs/>
              </w:rPr>
            </w:pPr>
            <w:r>
              <w:t>Key performance indicators subgroup</w:t>
            </w:r>
          </w:p>
        </w:tc>
      </w:tr>
      <w:tr w:rsidR="00D8167B" w14:paraId="2D6A1899" w14:textId="77777777" w:rsidTr="24701D7C">
        <w:trPr>
          <w:trHeight w:val="429"/>
        </w:trPr>
        <w:tc>
          <w:tcPr>
            <w:tcW w:w="1380" w:type="dxa"/>
          </w:tcPr>
          <w:p w14:paraId="79C8992A" w14:textId="77777777" w:rsidR="00D8167B" w:rsidRPr="00C90D6E" w:rsidRDefault="00D8167B" w:rsidP="000E6FCB">
            <w:pPr>
              <w:rPr>
                <w:b/>
                <w:bCs/>
              </w:rPr>
            </w:pPr>
            <w:r w:rsidRPr="00C90D6E">
              <w:rPr>
                <w:b/>
                <w:bCs/>
              </w:rPr>
              <w:t>Purpose</w:t>
            </w:r>
          </w:p>
        </w:tc>
        <w:tc>
          <w:tcPr>
            <w:tcW w:w="7636" w:type="dxa"/>
            <w:gridSpan w:val="2"/>
          </w:tcPr>
          <w:p w14:paraId="1FA8E51C" w14:textId="77777777" w:rsidR="00D8167B" w:rsidRDefault="00D8167B" w:rsidP="000E6FCB">
            <w:r>
              <w:t xml:space="preserve">To receive updates from the subgroups on their priorities and work.  </w:t>
            </w:r>
          </w:p>
        </w:tc>
      </w:tr>
      <w:tr w:rsidR="00D8167B" w14:paraId="6383821D" w14:textId="77777777" w:rsidTr="24701D7C">
        <w:trPr>
          <w:trHeight w:val="406"/>
        </w:trPr>
        <w:tc>
          <w:tcPr>
            <w:tcW w:w="1380" w:type="dxa"/>
          </w:tcPr>
          <w:p w14:paraId="5A3E6C9D" w14:textId="77777777" w:rsidR="00D8167B" w:rsidRPr="00C90D6E" w:rsidRDefault="00D8167B" w:rsidP="000E6FCB">
            <w:pPr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  <w:r w:rsidRPr="00C90D6E">
              <w:rPr>
                <w:b/>
                <w:bCs/>
              </w:rPr>
              <w:t>s</w:t>
            </w:r>
          </w:p>
        </w:tc>
        <w:tc>
          <w:tcPr>
            <w:tcW w:w="7636" w:type="dxa"/>
            <w:gridSpan w:val="2"/>
          </w:tcPr>
          <w:p w14:paraId="27D9A45E" w14:textId="5F7B0230" w:rsidR="00B737AA" w:rsidRPr="00B737AA" w:rsidRDefault="00B737AA" w:rsidP="00B737AA"/>
        </w:tc>
      </w:tr>
    </w:tbl>
    <w:p w14:paraId="472375D1" w14:textId="77777777" w:rsidR="00D8167B" w:rsidRDefault="00D8167B" w:rsidP="00D8167B">
      <w:pPr>
        <w:spacing w:after="0"/>
        <w:rPr>
          <w:rFonts w:ascii="Century Gothic" w:eastAsia="Times New Roman" w:hAnsi="Century Gothic"/>
          <w:color w:val="000000"/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80"/>
        <w:gridCol w:w="4711"/>
        <w:gridCol w:w="2925"/>
      </w:tblGrid>
      <w:tr w:rsidR="0038707E" w14:paraId="6C4F6968" w14:textId="77777777" w:rsidTr="6469F6DB">
        <w:trPr>
          <w:trHeight w:val="209"/>
        </w:trPr>
        <w:tc>
          <w:tcPr>
            <w:tcW w:w="1380" w:type="dxa"/>
            <w:shd w:val="clear" w:color="auto" w:fill="DEEAF6" w:themeFill="accent5" w:themeFillTint="33"/>
          </w:tcPr>
          <w:p w14:paraId="0C33E039" w14:textId="43CF4BD8" w:rsidR="0038707E" w:rsidRPr="00C90D6E" w:rsidRDefault="0038707E" w:rsidP="0037014C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D8167B">
              <w:rPr>
                <w:b/>
                <w:bCs/>
              </w:rPr>
              <w:t>4</w:t>
            </w:r>
          </w:p>
        </w:tc>
        <w:tc>
          <w:tcPr>
            <w:tcW w:w="4711" w:type="dxa"/>
            <w:shd w:val="clear" w:color="auto" w:fill="DEEAF6" w:themeFill="accent5" w:themeFillTint="33"/>
          </w:tcPr>
          <w:p w14:paraId="3D2DAF91" w14:textId="4D5B596E" w:rsidR="0038707E" w:rsidRPr="00C90D6E" w:rsidRDefault="00B412BD" w:rsidP="0037014C">
            <w:pPr>
              <w:rPr>
                <w:b/>
                <w:bCs/>
              </w:rPr>
            </w:pPr>
            <w:r>
              <w:rPr>
                <w:b/>
                <w:bCs/>
              </w:rPr>
              <w:t>Community Pharmacy IT Group</w:t>
            </w:r>
          </w:p>
        </w:tc>
        <w:tc>
          <w:tcPr>
            <w:tcW w:w="2925" w:type="dxa"/>
            <w:shd w:val="clear" w:color="auto" w:fill="DEEAF6" w:themeFill="accent5" w:themeFillTint="33"/>
          </w:tcPr>
          <w:p w14:paraId="1CB524BF" w14:textId="001C242A" w:rsidR="0038707E" w:rsidRPr="00C90D6E" w:rsidRDefault="00B412BD" w:rsidP="0037014C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201CC0">
              <w:rPr>
                <w:b/>
                <w:bCs/>
              </w:rPr>
              <w:t>.30-14.40</w:t>
            </w:r>
          </w:p>
        </w:tc>
      </w:tr>
      <w:tr w:rsidR="0038707E" w14:paraId="28BA2915" w14:textId="77777777" w:rsidTr="00201CC0">
        <w:trPr>
          <w:trHeight w:val="768"/>
        </w:trPr>
        <w:tc>
          <w:tcPr>
            <w:tcW w:w="1380" w:type="dxa"/>
          </w:tcPr>
          <w:p w14:paraId="3D8BB98F" w14:textId="77777777" w:rsidR="0038707E" w:rsidRPr="00C90D6E" w:rsidRDefault="0038707E" w:rsidP="0037014C">
            <w:pPr>
              <w:rPr>
                <w:b/>
                <w:bCs/>
              </w:rPr>
            </w:pPr>
            <w:r w:rsidRPr="00C90D6E">
              <w:rPr>
                <w:b/>
                <w:bCs/>
              </w:rPr>
              <w:t>Description</w:t>
            </w:r>
          </w:p>
        </w:tc>
        <w:tc>
          <w:tcPr>
            <w:tcW w:w="7636" w:type="dxa"/>
            <w:gridSpan w:val="2"/>
          </w:tcPr>
          <w:p w14:paraId="17335E6D" w14:textId="2D569CB0" w:rsidR="00E14E63" w:rsidRPr="00E14E63" w:rsidRDefault="00B412BD" w:rsidP="00B412BD">
            <w:r w:rsidRPr="00B412BD">
              <w:t xml:space="preserve">DPEAG Chair to provide an update </w:t>
            </w:r>
            <w:r w:rsidRPr="00B412BD">
              <w:rPr>
                <w:rFonts w:eastAsia="Times New Roman"/>
              </w:rPr>
              <w:t>on some of the topics on the agenda of the CP-IT</w:t>
            </w:r>
            <w:r>
              <w:rPr>
                <w:rFonts w:eastAsia="Times New Roman"/>
              </w:rPr>
              <w:t xml:space="preserve"> group</w:t>
            </w:r>
            <w:r w:rsidRPr="00B412BD">
              <w:rPr>
                <w:rFonts w:eastAsia="Times New Roman"/>
              </w:rPr>
              <w:t xml:space="preserve"> in the coming months</w:t>
            </w:r>
            <w:r>
              <w:rPr>
                <w:rFonts w:eastAsia="Times New Roman"/>
              </w:rPr>
              <w:t>.</w:t>
            </w:r>
          </w:p>
        </w:tc>
      </w:tr>
      <w:tr w:rsidR="0038707E" w14:paraId="3F66EEC0" w14:textId="77777777" w:rsidTr="6469F6DB">
        <w:trPr>
          <w:trHeight w:val="429"/>
        </w:trPr>
        <w:tc>
          <w:tcPr>
            <w:tcW w:w="1380" w:type="dxa"/>
          </w:tcPr>
          <w:p w14:paraId="08C6C7ED" w14:textId="77777777" w:rsidR="0038707E" w:rsidRPr="00C90D6E" w:rsidRDefault="0038707E" w:rsidP="0037014C">
            <w:pPr>
              <w:rPr>
                <w:b/>
                <w:bCs/>
              </w:rPr>
            </w:pPr>
            <w:r w:rsidRPr="00C90D6E">
              <w:rPr>
                <w:b/>
                <w:bCs/>
              </w:rPr>
              <w:t>Purpose</w:t>
            </w:r>
          </w:p>
        </w:tc>
        <w:tc>
          <w:tcPr>
            <w:tcW w:w="7636" w:type="dxa"/>
            <w:gridSpan w:val="2"/>
          </w:tcPr>
          <w:p w14:paraId="4CF0728A" w14:textId="42F0ED60" w:rsidR="0038707E" w:rsidRDefault="00B412BD" w:rsidP="0037014C">
            <w:r>
              <w:t>To receive an update on the work of the Community Pharmacy IT Group.</w:t>
            </w:r>
          </w:p>
        </w:tc>
      </w:tr>
      <w:tr w:rsidR="0038707E" w14:paraId="0EA404E6" w14:textId="77777777" w:rsidTr="00201CC0">
        <w:trPr>
          <w:trHeight w:val="672"/>
        </w:trPr>
        <w:tc>
          <w:tcPr>
            <w:tcW w:w="1380" w:type="dxa"/>
          </w:tcPr>
          <w:p w14:paraId="6AE214B0" w14:textId="77777777" w:rsidR="0038707E" w:rsidRPr="00C90D6E" w:rsidRDefault="0038707E" w:rsidP="0037014C">
            <w:pPr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  <w:r w:rsidRPr="00C90D6E">
              <w:rPr>
                <w:b/>
                <w:bCs/>
              </w:rPr>
              <w:t>s</w:t>
            </w:r>
          </w:p>
        </w:tc>
        <w:tc>
          <w:tcPr>
            <w:tcW w:w="7636" w:type="dxa"/>
            <w:gridSpan w:val="2"/>
          </w:tcPr>
          <w:p w14:paraId="7E409513" w14:textId="623F2A86" w:rsidR="0049121C" w:rsidRPr="00C90D6E" w:rsidRDefault="0049121C" w:rsidP="358D1010">
            <w:pPr>
              <w:rPr>
                <w:b/>
                <w:bCs/>
              </w:rPr>
            </w:pPr>
          </w:p>
        </w:tc>
      </w:tr>
      <w:tr w:rsidR="002173E9" w14:paraId="5AA9AED1" w14:textId="77777777" w:rsidTr="79BEF474">
        <w:trPr>
          <w:trHeight w:val="209"/>
        </w:trPr>
        <w:tc>
          <w:tcPr>
            <w:tcW w:w="1380" w:type="dxa"/>
            <w:shd w:val="clear" w:color="auto" w:fill="DEEAF6" w:themeFill="accent5" w:themeFillTint="33"/>
          </w:tcPr>
          <w:p w14:paraId="39B21AC9" w14:textId="0D5795BA" w:rsidR="002173E9" w:rsidRPr="00C90D6E" w:rsidRDefault="002173E9" w:rsidP="0037014C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38707E">
              <w:rPr>
                <w:b/>
                <w:bCs/>
              </w:rPr>
              <w:t>5</w:t>
            </w:r>
          </w:p>
        </w:tc>
        <w:tc>
          <w:tcPr>
            <w:tcW w:w="4711" w:type="dxa"/>
            <w:shd w:val="clear" w:color="auto" w:fill="DEEAF6" w:themeFill="accent5" w:themeFillTint="33"/>
          </w:tcPr>
          <w:p w14:paraId="00BA52BC" w14:textId="78B0D058" w:rsidR="002173E9" w:rsidRPr="00C90D6E" w:rsidRDefault="002173E9" w:rsidP="0037014C">
            <w:pPr>
              <w:rPr>
                <w:b/>
                <w:bCs/>
              </w:rPr>
            </w:pPr>
            <w:r>
              <w:rPr>
                <w:b/>
                <w:bCs/>
              </w:rPr>
              <w:t>Responses to consultations</w:t>
            </w:r>
          </w:p>
        </w:tc>
        <w:tc>
          <w:tcPr>
            <w:tcW w:w="2925" w:type="dxa"/>
            <w:shd w:val="clear" w:color="auto" w:fill="DEEAF6" w:themeFill="accent5" w:themeFillTint="33"/>
          </w:tcPr>
          <w:p w14:paraId="0704B53E" w14:textId="63BBEAF3" w:rsidR="002173E9" w:rsidRPr="00C90D6E" w:rsidRDefault="002173E9" w:rsidP="0037014C">
            <w:pPr>
              <w:rPr>
                <w:b/>
                <w:bCs/>
              </w:rPr>
            </w:pPr>
          </w:p>
        </w:tc>
      </w:tr>
      <w:tr w:rsidR="002173E9" w14:paraId="7C895915" w14:textId="77777777" w:rsidTr="79BEF474">
        <w:trPr>
          <w:trHeight w:val="418"/>
        </w:trPr>
        <w:tc>
          <w:tcPr>
            <w:tcW w:w="1380" w:type="dxa"/>
          </w:tcPr>
          <w:p w14:paraId="3AA45C1C" w14:textId="77777777" w:rsidR="002173E9" w:rsidRPr="00C90D6E" w:rsidRDefault="002173E9" w:rsidP="0037014C">
            <w:pPr>
              <w:rPr>
                <w:b/>
                <w:bCs/>
              </w:rPr>
            </w:pPr>
            <w:r w:rsidRPr="00C90D6E">
              <w:rPr>
                <w:b/>
                <w:bCs/>
              </w:rPr>
              <w:t>Description</w:t>
            </w:r>
          </w:p>
        </w:tc>
        <w:tc>
          <w:tcPr>
            <w:tcW w:w="7636" w:type="dxa"/>
            <w:gridSpan w:val="2"/>
          </w:tcPr>
          <w:p w14:paraId="4E6E679A" w14:textId="75C5B2AF" w:rsidR="002173E9" w:rsidRPr="00C32BE2" w:rsidRDefault="00D04580" w:rsidP="0037014C">
            <w:r>
              <w:t>There are no current consultations pertaining to Digital.</w:t>
            </w:r>
          </w:p>
        </w:tc>
      </w:tr>
      <w:tr w:rsidR="002173E9" w14:paraId="391B0014" w14:textId="77777777" w:rsidTr="79BEF474">
        <w:trPr>
          <w:trHeight w:val="1963"/>
        </w:trPr>
        <w:tc>
          <w:tcPr>
            <w:tcW w:w="1380" w:type="dxa"/>
          </w:tcPr>
          <w:p w14:paraId="3C2B682D" w14:textId="77777777" w:rsidR="002173E9" w:rsidRPr="00C90D6E" w:rsidRDefault="002173E9" w:rsidP="0037014C">
            <w:pPr>
              <w:rPr>
                <w:b/>
                <w:bCs/>
              </w:rPr>
            </w:pPr>
            <w:r w:rsidRPr="00C90D6E">
              <w:rPr>
                <w:b/>
                <w:bCs/>
              </w:rPr>
              <w:t>Purpose</w:t>
            </w:r>
          </w:p>
        </w:tc>
        <w:tc>
          <w:tcPr>
            <w:tcW w:w="7636" w:type="dxa"/>
            <w:gridSpan w:val="2"/>
          </w:tcPr>
          <w:p w14:paraId="68484F67" w14:textId="2779C4A0" w:rsidR="002173E9" w:rsidRDefault="002173E9" w:rsidP="0037014C"/>
        </w:tc>
      </w:tr>
      <w:tr w:rsidR="002173E9" w14:paraId="3361B33B" w14:textId="77777777" w:rsidTr="79BEF474">
        <w:trPr>
          <w:trHeight w:val="406"/>
        </w:trPr>
        <w:tc>
          <w:tcPr>
            <w:tcW w:w="1380" w:type="dxa"/>
          </w:tcPr>
          <w:p w14:paraId="5BDEDB0D" w14:textId="77777777" w:rsidR="002173E9" w:rsidRPr="00C90D6E" w:rsidRDefault="002173E9" w:rsidP="0037014C">
            <w:pPr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  <w:r w:rsidRPr="00C90D6E">
              <w:rPr>
                <w:b/>
                <w:bCs/>
              </w:rPr>
              <w:t>s</w:t>
            </w:r>
          </w:p>
        </w:tc>
        <w:tc>
          <w:tcPr>
            <w:tcW w:w="7636" w:type="dxa"/>
            <w:gridSpan w:val="2"/>
          </w:tcPr>
          <w:p w14:paraId="0F866F1F" w14:textId="0578EF04" w:rsidR="002173E9" w:rsidRPr="00C90D6E" w:rsidRDefault="002173E9" w:rsidP="79BEF474">
            <w:pPr>
              <w:pStyle w:val="ListParagraph"/>
              <w:numPr>
                <w:ilvl w:val="0"/>
                <w:numId w:val="6"/>
              </w:numPr>
              <w:rPr>
                <w:i/>
                <w:iCs/>
              </w:rPr>
            </w:pPr>
          </w:p>
        </w:tc>
      </w:tr>
    </w:tbl>
    <w:p w14:paraId="3C8B56E1" w14:textId="77777777" w:rsidR="0038707E" w:rsidRDefault="0038707E" w:rsidP="00DD5BE4">
      <w:pPr>
        <w:spacing w:after="0"/>
        <w:rPr>
          <w:rFonts w:ascii="Century Gothic" w:eastAsia="Times New Roman" w:hAnsi="Century Gothic"/>
          <w:color w:val="000000"/>
          <w:sz w:val="20"/>
          <w:szCs w:val="20"/>
        </w:rPr>
      </w:pPr>
    </w:p>
    <w:p w14:paraId="6A4885E7" w14:textId="50479DC0" w:rsidR="004130F1" w:rsidRPr="004130F1" w:rsidRDefault="00C90D6E" w:rsidP="004130F1">
      <w:pPr>
        <w:pStyle w:val="Heading2"/>
        <w:pBdr>
          <w:bottom w:val="single" w:sz="4" w:space="1" w:color="auto"/>
        </w:pBdr>
        <w:shd w:val="clear" w:color="auto" w:fill="DEEAF6" w:themeFill="accent5" w:themeFillTint="3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3: </w:t>
      </w:r>
      <w:r w:rsidR="004130F1" w:rsidRPr="004130F1">
        <w:rPr>
          <w:b/>
          <w:bCs/>
          <w:color w:val="000000" w:themeColor="text1"/>
        </w:rPr>
        <w:t>Communication</w:t>
      </w:r>
    </w:p>
    <w:p w14:paraId="0C30595F" w14:textId="35E13A93" w:rsidR="004130F1" w:rsidRDefault="004130F1" w:rsidP="004130F1">
      <w:pPr>
        <w:spacing w:after="0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35"/>
        <w:gridCol w:w="4756"/>
        <w:gridCol w:w="2925"/>
      </w:tblGrid>
      <w:tr w:rsidR="00C90D6E" w14:paraId="3364919B" w14:textId="77777777" w:rsidTr="79BEF474">
        <w:trPr>
          <w:trHeight w:val="248"/>
        </w:trPr>
        <w:tc>
          <w:tcPr>
            <w:tcW w:w="1335" w:type="dxa"/>
            <w:shd w:val="clear" w:color="auto" w:fill="DEEAF6" w:themeFill="accent5" w:themeFillTint="33"/>
          </w:tcPr>
          <w:p w14:paraId="66ECEBA9" w14:textId="0B81A5AD" w:rsidR="00C90D6E" w:rsidRPr="00C90D6E" w:rsidRDefault="007E1598" w:rsidP="00C90D6E">
            <w:pPr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  <w:tc>
          <w:tcPr>
            <w:tcW w:w="4756" w:type="dxa"/>
            <w:shd w:val="clear" w:color="auto" w:fill="DEEAF6" w:themeFill="accent5" w:themeFillTint="33"/>
          </w:tcPr>
          <w:p w14:paraId="6EDC884D" w14:textId="77777777" w:rsidR="00C90D6E" w:rsidRPr="00C90D6E" w:rsidRDefault="00C90D6E" w:rsidP="00C90D6E">
            <w:pPr>
              <w:rPr>
                <w:b/>
                <w:bCs/>
              </w:rPr>
            </w:pPr>
            <w:r w:rsidRPr="00C90D6E">
              <w:rPr>
                <w:b/>
                <w:bCs/>
              </w:rPr>
              <w:t>Messages for RPS members</w:t>
            </w:r>
          </w:p>
        </w:tc>
        <w:tc>
          <w:tcPr>
            <w:tcW w:w="2925" w:type="dxa"/>
            <w:shd w:val="clear" w:color="auto" w:fill="DEEAF6" w:themeFill="accent5" w:themeFillTint="33"/>
          </w:tcPr>
          <w:p w14:paraId="2A199B39" w14:textId="3272E0A3" w:rsidR="00C90D6E" w:rsidRPr="00A442CD" w:rsidRDefault="007220DC" w:rsidP="00C90D6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4580">
              <w:rPr>
                <w:b/>
                <w:bCs/>
              </w:rPr>
              <w:t>4:40</w:t>
            </w:r>
            <w:r w:rsidR="0038707E">
              <w:rPr>
                <w:b/>
                <w:bCs/>
              </w:rPr>
              <w:t>-1</w:t>
            </w:r>
            <w:r w:rsidR="00D04580">
              <w:rPr>
                <w:b/>
                <w:bCs/>
              </w:rPr>
              <w:t>4:50</w:t>
            </w:r>
          </w:p>
        </w:tc>
      </w:tr>
      <w:tr w:rsidR="00C90D6E" w14:paraId="39C4317B" w14:textId="77777777" w:rsidTr="79BEF474">
        <w:trPr>
          <w:trHeight w:val="517"/>
        </w:trPr>
        <w:tc>
          <w:tcPr>
            <w:tcW w:w="1335" w:type="dxa"/>
          </w:tcPr>
          <w:p w14:paraId="3432AE1E" w14:textId="3EE9784A" w:rsidR="00C90D6E" w:rsidRPr="00C90D6E" w:rsidRDefault="00C90D6E" w:rsidP="00C90D6E">
            <w:pPr>
              <w:rPr>
                <w:b/>
                <w:bCs/>
              </w:rPr>
            </w:pPr>
            <w:r w:rsidRPr="00C90D6E">
              <w:rPr>
                <w:b/>
                <w:bCs/>
              </w:rPr>
              <w:t>Description</w:t>
            </w:r>
          </w:p>
        </w:tc>
        <w:tc>
          <w:tcPr>
            <w:tcW w:w="7681" w:type="dxa"/>
            <w:gridSpan w:val="2"/>
          </w:tcPr>
          <w:p w14:paraId="174E8154" w14:textId="3B93DA6C" w:rsidR="00C90D6E" w:rsidRDefault="00C90D6E" w:rsidP="00C90D6E">
            <w:r>
              <w:t>Sharing information with RPS members is an essential role for RPS, and the EAG’s advice on what informatio</w:t>
            </w:r>
            <w:r w:rsidR="0051027F">
              <w:t>n</w:t>
            </w:r>
            <w:r>
              <w:t xml:space="preserve"> is useful and relevant </w:t>
            </w:r>
            <w:r w:rsidR="0051027F">
              <w:t xml:space="preserve">to communicate </w:t>
            </w:r>
            <w:r>
              <w:t xml:space="preserve">is vital. </w:t>
            </w:r>
          </w:p>
        </w:tc>
      </w:tr>
      <w:tr w:rsidR="00C90D6E" w14:paraId="0E8E4AF4" w14:textId="77777777" w:rsidTr="79BEF474">
        <w:trPr>
          <w:trHeight w:val="888"/>
        </w:trPr>
        <w:tc>
          <w:tcPr>
            <w:tcW w:w="1335" w:type="dxa"/>
          </w:tcPr>
          <w:p w14:paraId="36AB1DD7" w14:textId="404BA5A7" w:rsidR="00C90D6E" w:rsidRPr="00C90D6E" w:rsidRDefault="00C90D6E" w:rsidP="00C90D6E">
            <w:pPr>
              <w:rPr>
                <w:b/>
                <w:bCs/>
              </w:rPr>
            </w:pPr>
            <w:r w:rsidRPr="00C90D6E">
              <w:rPr>
                <w:b/>
                <w:bCs/>
              </w:rPr>
              <w:t>Purpose</w:t>
            </w:r>
          </w:p>
        </w:tc>
        <w:tc>
          <w:tcPr>
            <w:tcW w:w="7681" w:type="dxa"/>
            <w:gridSpan w:val="2"/>
          </w:tcPr>
          <w:p w14:paraId="5DA498FF" w14:textId="6AF4DFF5" w:rsidR="00C90D6E" w:rsidRDefault="00C90D6E" w:rsidP="00D8167B">
            <w:r>
              <w:t>To decide what aspects of the EAG’s work should be shared with members, and how best to share them.</w:t>
            </w:r>
            <w:r w:rsidR="00D8167B">
              <w:t xml:space="preserve"> </w:t>
            </w:r>
            <w:r>
              <w:t>To make recommendations to RPS on other communication with members needed in the EAG’s subject area.</w:t>
            </w:r>
          </w:p>
        </w:tc>
      </w:tr>
      <w:tr w:rsidR="00C90D6E" w14:paraId="28F84CAD" w14:textId="77777777" w:rsidTr="79BEF474">
        <w:trPr>
          <w:trHeight w:val="381"/>
        </w:trPr>
        <w:tc>
          <w:tcPr>
            <w:tcW w:w="1335" w:type="dxa"/>
          </w:tcPr>
          <w:p w14:paraId="03DE1DBA" w14:textId="248FDE1A" w:rsidR="00C90D6E" w:rsidRPr="00C90D6E" w:rsidRDefault="00990A5F" w:rsidP="00C90D6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Outcome</w:t>
            </w:r>
            <w:r w:rsidRPr="00C90D6E">
              <w:rPr>
                <w:b/>
                <w:bCs/>
              </w:rPr>
              <w:t>s</w:t>
            </w:r>
          </w:p>
        </w:tc>
        <w:tc>
          <w:tcPr>
            <w:tcW w:w="7681" w:type="dxa"/>
            <w:gridSpan w:val="2"/>
          </w:tcPr>
          <w:p w14:paraId="7B272D0D" w14:textId="7F4D963F" w:rsidR="00D24B83" w:rsidRPr="00D24B83" w:rsidRDefault="00D24B83" w:rsidP="00C90D6E">
            <w:pPr>
              <w:pStyle w:val="ListParagraph"/>
              <w:numPr>
                <w:ilvl w:val="0"/>
                <w:numId w:val="6"/>
              </w:numPr>
            </w:pPr>
          </w:p>
        </w:tc>
      </w:tr>
    </w:tbl>
    <w:p w14:paraId="41ADB4A0" w14:textId="4BE7AC1B" w:rsidR="00406F24" w:rsidRDefault="00406F24" w:rsidP="004130F1">
      <w:pPr>
        <w:spacing w:after="0"/>
      </w:pPr>
    </w:p>
    <w:p w14:paraId="21051EE9" w14:textId="0BEA112B" w:rsidR="007E1598" w:rsidRPr="004130F1" w:rsidRDefault="00406F24" w:rsidP="007E1598">
      <w:pPr>
        <w:pStyle w:val="Heading2"/>
        <w:pBdr>
          <w:bottom w:val="single" w:sz="4" w:space="1" w:color="auto"/>
        </w:pBdr>
        <w:shd w:val="clear" w:color="auto" w:fill="DEEAF6" w:themeFill="accent5" w:themeFillTint="3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</w:t>
      </w:r>
      <w:r w:rsidR="007E1598">
        <w:rPr>
          <w:b/>
          <w:bCs/>
          <w:color w:val="000000" w:themeColor="text1"/>
        </w:rPr>
        <w:t>: Any other business</w:t>
      </w:r>
      <w:r w:rsidR="00A442CD">
        <w:rPr>
          <w:b/>
          <w:bCs/>
          <w:color w:val="000000" w:themeColor="text1"/>
        </w:rPr>
        <w:t xml:space="preserve"> </w:t>
      </w:r>
      <w:r w:rsidR="00A442CD">
        <w:rPr>
          <w:b/>
          <w:bCs/>
          <w:color w:val="000000" w:themeColor="text1"/>
        </w:rPr>
        <w:tab/>
      </w:r>
      <w:r w:rsidR="00A442CD">
        <w:rPr>
          <w:b/>
          <w:bCs/>
          <w:color w:val="000000" w:themeColor="text1"/>
        </w:rPr>
        <w:tab/>
      </w:r>
      <w:r w:rsidR="00A442CD">
        <w:rPr>
          <w:b/>
          <w:bCs/>
          <w:color w:val="000000" w:themeColor="text1"/>
        </w:rPr>
        <w:tab/>
      </w:r>
      <w:r w:rsidR="00A442CD">
        <w:rPr>
          <w:b/>
          <w:bCs/>
          <w:color w:val="000000" w:themeColor="text1"/>
        </w:rPr>
        <w:tab/>
      </w:r>
      <w:r w:rsidR="00A442CD">
        <w:rPr>
          <w:b/>
          <w:bCs/>
          <w:color w:val="000000" w:themeColor="text1"/>
        </w:rPr>
        <w:tab/>
      </w:r>
      <w:r w:rsidR="00D04580">
        <w:rPr>
          <w:b/>
          <w:bCs/>
          <w:color w:val="000000" w:themeColor="text1"/>
        </w:rPr>
        <w:t>14:50</w:t>
      </w:r>
      <w:r w:rsidR="007220DC">
        <w:rPr>
          <w:b/>
          <w:bCs/>
          <w:color w:val="000000" w:themeColor="text1"/>
          <w:sz w:val="22"/>
          <w:szCs w:val="22"/>
        </w:rPr>
        <w:t xml:space="preserve"> – 15.</w:t>
      </w:r>
      <w:r w:rsidR="00D04580">
        <w:rPr>
          <w:b/>
          <w:bCs/>
          <w:color w:val="000000" w:themeColor="text1"/>
          <w:sz w:val="22"/>
          <w:szCs w:val="22"/>
        </w:rPr>
        <w:t>10</w:t>
      </w:r>
      <w:r w:rsidR="00A442CD">
        <w:rPr>
          <w:b/>
          <w:bCs/>
          <w:color w:val="000000" w:themeColor="text1"/>
        </w:rPr>
        <w:tab/>
      </w:r>
      <w:r w:rsidR="00A442CD">
        <w:rPr>
          <w:b/>
          <w:bCs/>
          <w:color w:val="000000" w:themeColor="text1"/>
        </w:rPr>
        <w:tab/>
      </w:r>
    </w:p>
    <w:p w14:paraId="4E526DD2" w14:textId="189397CB" w:rsidR="00216E91" w:rsidRDefault="00216E91" w:rsidP="004130F1">
      <w:pPr>
        <w:spacing w:after="0"/>
      </w:pPr>
    </w:p>
    <w:p w14:paraId="27E9A44C" w14:textId="709D5DE7" w:rsidR="00A01B31" w:rsidRPr="007220DC" w:rsidRDefault="007220DC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color w:val="000000"/>
        </w:rPr>
      </w:pPr>
      <w:r w:rsidRPr="007220DC">
        <w:rPr>
          <w:rFonts w:asciiTheme="minorHAnsi" w:hAnsiTheme="minorHAnsi" w:cstheme="minorHAnsi"/>
          <w:color w:val="000000"/>
        </w:rPr>
        <w:t>DP EAG members to raise any other business</w:t>
      </w:r>
      <w:r>
        <w:rPr>
          <w:rFonts w:asciiTheme="minorHAnsi" w:hAnsiTheme="minorHAnsi" w:cstheme="minorHAnsi"/>
          <w:color w:val="000000"/>
        </w:rPr>
        <w:t>.</w:t>
      </w:r>
    </w:p>
    <w:p w14:paraId="3BF600A8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4FDD211D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12FBC4F7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5FC92C45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75842B69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25D4B8A2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7F2433CB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047676D7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263D81E1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0FAB3181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783B087D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1C1C4D7A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78782B03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4F458E84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56F3DD34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346B5310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04C00467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1D5567E8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76A38D34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1FCA23E6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4E0D3150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39C08CBA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75134F67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4BC53BA1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13C0FC25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2A7EBE0A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4015907F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5A62F869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4373EEBC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310040B6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55D10BAD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24D64321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2A1E573A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058C2D52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13F00127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4C5529B6" w14:textId="1B5A18F3" w:rsidR="00A01B31" w:rsidRDefault="00A01B31" w:rsidP="00A01B31">
      <w:pPr>
        <w:pStyle w:val="xmsonormal"/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DPEAG 0922 - Appendix 1.</w:t>
      </w:r>
    </w:p>
    <w:p w14:paraId="6C79C862" w14:textId="77777777" w:rsidR="00A01B31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44E57265" w14:textId="6F42B07E" w:rsidR="00A01B31" w:rsidRPr="0098148E" w:rsidRDefault="00A01B31" w:rsidP="00A01B31">
      <w:pPr>
        <w:pStyle w:val="xmsonormal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000000"/>
        </w:rPr>
      </w:pPr>
      <w:r w:rsidRPr="0098148E">
        <w:rPr>
          <w:rFonts w:asciiTheme="minorHAnsi" w:hAnsiTheme="minorHAnsi" w:cstheme="minorHAnsi"/>
          <w:b/>
          <w:bCs/>
          <w:color w:val="000000"/>
        </w:rPr>
        <w:t>Digital Pharmacy E</w:t>
      </w:r>
      <w:r>
        <w:rPr>
          <w:rFonts w:asciiTheme="minorHAnsi" w:hAnsiTheme="minorHAnsi" w:cstheme="minorHAnsi"/>
          <w:b/>
          <w:bCs/>
          <w:color w:val="000000"/>
        </w:rPr>
        <w:t>xpert Advisory Group</w:t>
      </w:r>
      <w:r w:rsidRPr="0098148E">
        <w:rPr>
          <w:rFonts w:asciiTheme="minorHAnsi" w:hAnsiTheme="minorHAnsi" w:cstheme="minorHAnsi"/>
          <w:b/>
          <w:bCs/>
          <w:color w:val="000000"/>
        </w:rPr>
        <w:t xml:space="preserve"> recommendations for </w:t>
      </w:r>
      <w:r>
        <w:rPr>
          <w:rFonts w:asciiTheme="minorHAnsi" w:hAnsiTheme="minorHAnsi" w:cstheme="minorHAnsi"/>
          <w:b/>
          <w:bCs/>
          <w:color w:val="000000"/>
        </w:rPr>
        <w:t>future work of RPS</w:t>
      </w:r>
    </w:p>
    <w:p w14:paraId="31625E97" w14:textId="77777777" w:rsidR="00A01B31" w:rsidRPr="005F205B" w:rsidRDefault="00A01B31" w:rsidP="00A01B31">
      <w:pPr>
        <w:pStyle w:val="xmsonormal"/>
        <w:rPr>
          <w:rFonts w:asciiTheme="minorHAnsi" w:hAnsiTheme="minorHAnsi" w:cstheme="minorHAnsi"/>
          <w:color w:val="000000"/>
        </w:rPr>
      </w:pPr>
    </w:p>
    <w:p w14:paraId="25D38ECA" w14:textId="77777777" w:rsidR="00A01B31" w:rsidRPr="0048098D" w:rsidRDefault="00A01B31" w:rsidP="00A01B31">
      <w:pPr>
        <w:rPr>
          <w:rFonts w:cstheme="minorHAnsi"/>
          <w:b/>
          <w:bCs/>
          <w:color w:val="000000"/>
          <w:u w:val="single"/>
        </w:rPr>
      </w:pPr>
      <w:r w:rsidRPr="0048098D">
        <w:rPr>
          <w:rFonts w:cstheme="minorHAnsi"/>
          <w:b/>
          <w:bCs/>
          <w:color w:val="000000"/>
          <w:u w:val="single"/>
        </w:rPr>
        <w:t>Recommended priorities for Country Board plans</w:t>
      </w:r>
    </w:p>
    <w:p w14:paraId="31B246C4" w14:textId="77777777" w:rsidR="00A01B31" w:rsidRPr="0048098D" w:rsidRDefault="00A01B31" w:rsidP="00A01B31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bCs/>
          <w:color w:val="000000"/>
        </w:rPr>
      </w:pPr>
      <w:r w:rsidRPr="0048098D">
        <w:rPr>
          <w:rFonts w:cstheme="minorHAnsi"/>
          <w:b/>
          <w:bCs/>
          <w:color w:val="000000"/>
        </w:rPr>
        <w:t>Medicine Records interoperability and communication</w:t>
      </w:r>
    </w:p>
    <w:p w14:paraId="1F518E9E" w14:textId="77777777" w:rsidR="00A01B31" w:rsidRPr="005F205B" w:rsidRDefault="00A01B31" w:rsidP="00A01B3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5F205B">
        <w:rPr>
          <w:rFonts w:cstheme="minorHAnsi"/>
        </w:rPr>
        <w:t xml:space="preserve">Develop a policy statement setting out why interoperability and shared medicine records are essential. Work with stakeholders to achieve this. </w:t>
      </w:r>
    </w:p>
    <w:p w14:paraId="16D90CD5" w14:textId="77777777" w:rsidR="00A01B31" w:rsidRPr="005F205B" w:rsidRDefault="00A01B31" w:rsidP="00A01B3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000000"/>
        </w:rPr>
      </w:pPr>
      <w:r w:rsidRPr="005F205B">
        <w:rPr>
          <w:rFonts w:cstheme="minorHAnsi"/>
        </w:rPr>
        <w:lastRenderedPageBreak/>
        <w:t xml:space="preserve">Develop information resources for pharmacists about implementation of </w:t>
      </w:r>
      <w:r w:rsidRPr="005F205B">
        <w:rPr>
          <w:rFonts w:cstheme="minorHAnsi"/>
          <w:color w:val="000000"/>
        </w:rPr>
        <w:t xml:space="preserve">Medicines Interoperability Information Standards Notice (DAPB4013) and scheduled publication of Medicines Data ISN (or equivalent in devolved nations), including terminology and links to other resources. </w:t>
      </w:r>
    </w:p>
    <w:p w14:paraId="1FCDFB28" w14:textId="77777777" w:rsidR="00A01B31" w:rsidRPr="0048098D" w:rsidRDefault="00A01B31" w:rsidP="00A01B31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</w:rPr>
      </w:pPr>
      <w:r w:rsidRPr="005F205B">
        <w:rPr>
          <w:rFonts w:eastAsia="Times New Roman" w:cstheme="minorHAnsi"/>
          <w:color w:val="000000"/>
        </w:rPr>
        <w:t xml:space="preserve">Develop a policy statement setting out why digital prescribing and transfer of relevant information </w:t>
      </w:r>
      <w:r>
        <w:rPr>
          <w:rFonts w:eastAsia="Times New Roman" w:cstheme="minorHAnsi"/>
          <w:color w:val="000000"/>
        </w:rPr>
        <w:t>(</w:t>
      </w:r>
      <w:proofErr w:type="spellStart"/>
      <w:r>
        <w:rPr>
          <w:rFonts w:eastAsia="Times New Roman" w:cstheme="minorHAnsi"/>
          <w:color w:val="000000"/>
        </w:rPr>
        <w:t>eg</w:t>
      </w:r>
      <w:proofErr w:type="spellEnd"/>
      <w:r>
        <w:rPr>
          <w:rFonts w:eastAsia="Times New Roman" w:cstheme="minorHAnsi"/>
          <w:color w:val="000000"/>
        </w:rPr>
        <w:t>,</w:t>
      </w:r>
      <w:r w:rsidRPr="005F205B">
        <w:rPr>
          <w:rFonts w:eastAsia="Times New Roman" w:cstheme="minorHAnsi"/>
          <w:color w:val="000000"/>
        </w:rPr>
        <w:t xml:space="preserve"> immediate discharge letters and referrals for discharge prescriptions) across all sectors of healthcare is essential. </w:t>
      </w:r>
      <w:r w:rsidRPr="005F205B">
        <w:rPr>
          <w:rFonts w:cstheme="minorHAnsi"/>
        </w:rPr>
        <w:t>Work with stakeholders to achieve this.</w:t>
      </w:r>
    </w:p>
    <w:p w14:paraId="3C28F4B7" w14:textId="77777777" w:rsidR="00A01B31" w:rsidRPr="005F205B" w:rsidRDefault="00A01B31" w:rsidP="00A01B31">
      <w:pPr>
        <w:rPr>
          <w:rFonts w:cstheme="minorHAnsi"/>
          <w:color w:val="000000"/>
        </w:rPr>
      </w:pPr>
    </w:p>
    <w:p w14:paraId="0A40D964" w14:textId="77777777" w:rsidR="00A01B31" w:rsidRPr="0048098D" w:rsidRDefault="00A01B31" w:rsidP="00A01B31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t xml:space="preserve">Digital </w:t>
      </w:r>
      <w:r w:rsidRPr="0048098D">
        <w:rPr>
          <w:rFonts w:cstheme="minorHAnsi"/>
          <w:b/>
          <w:bCs/>
        </w:rPr>
        <w:t xml:space="preserve">Education and Career development </w:t>
      </w:r>
    </w:p>
    <w:p w14:paraId="74E07AB0" w14:textId="77777777" w:rsidR="00A01B31" w:rsidRPr="005F205B" w:rsidRDefault="00A01B31" w:rsidP="00A01B31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5F205B">
        <w:rPr>
          <w:rFonts w:cstheme="minorHAnsi"/>
        </w:rPr>
        <w:t xml:space="preserve">Describe a career development pathway in informatics and data science for pharmacists in all sectors of health care, including links to resources, educational programmes. </w:t>
      </w:r>
    </w:p>
    <w:p w14:paraId="62CF95F7" w14:textId="77777777" w:rsidR="00A01B31" w:rsidRPr="005F205B" w:rsidRDefault="00A01B31" w:rsidP="00A01B31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5F205B">
        <w:rPr>
          <w:rFonts w:cstheme="minorHAnsi"/>
        </w:rPr>
        <w:t>Develop an RPS consultant Digital pharmacist profile (CCIO or CNIO roles, link with existing pharmacist CCIOs).</w:t>
      </w:r>
    </w:p>
    <w:p w14:paraId="50B91173" w14:textId="77777777" w:rsidR="00A01B31" w:rsidRDefault="00A01B31" w:rsidP="00A01B31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5F205B">
        <w:rPr>
          <w:rFonts w:cstheme="minorHAnsi"/>
        </w:rPr>
        <w:t xml:space="preserve">Work with pharmacy undergraduate education providers and </w:t>
      </w:r>
      <w:proofErr w:type="spellStart"/>
      <w:r w:rsidRPr="005F205B">
        <w:rPr>
          <w:rFonts w:cstheme="minorHAnsi"/>
        </w:rPr>
        <w:t>GPhC</w:t>
      </w:r>
      <w:proofErr w:type="spellEnd"/>
      <w:r w:rsidRPr="005F205B">
        <w:rPr>
          <w:rFonts w:cstheme="minorHAnsi"/>
        </w:rPr>
        <w:t xml:space="preserve"> to include clinical informatics, artificial intelligence and digital therapeutics in curricula.</w:t>
      </w:r>
    </w:p>
    <w:p w14:paraId="66DF581E" w14:textId="77777777" w:rsidR="00A01B31" w:rsidRPr="005F205B" w:rsidRDefault="00A01B31" w:rsidP="00A01B31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cstheme="minorHAnsi"/>
        </w:rPr>
        <w:t xml:space="preserve">Work to be supported by a subgroup of the Digital Pharmacy EAG. </w:t>
      </w:r>
    </w:p>
    <w:p w14:paraId="214473F5" w14:textId="77777777" w:rsidR="00A01B31" w:rsidRDefault="00A01B31" w:rsidP="00A01B31">
      <w:pPr>
        <w:rPr>
          <w:rFonts w:cstheme="minorHAnsi"/>
        </w:rPr>
      </w:pPr>
    </w:p>
    <w:p w14:paraId="5A21378C" w14:textId="77777777" w:rsidR="00A01B31" w:rsidRPr="0048098D" w:rsidRDefault="00A01B31" w:rsidP="00A01B31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48098D">
        <w:rPr>
          <w:rFonts w:eastAsia="Times New Roman" w:cstheme="minorHAnsi"/>
          <w:b/>
          <w:bCs/>
          <w:color w:val="000000"/>
        </w:rPr>
        <w:t>Equality and equity in digital design and use</w:t>
      </w:r>
    </w:p>
    <w:p w14:paraId="475CE2E1" w14:textId="77777777" w:rsidR="00A01B31" w:rsidRPr="0098148E" w:rsidRDefault="00A01B31" w:rsidP="00A01B31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</w:rPr>
      </w:pPr>
      <w:r w:rsidRPr="0098148E">
        <w:rPr>
          <w:rFonts w:eastAsia="Times New Roman" w:cstheme="minorHAnsi"/>
          <w:color w:val="000000"/>
        </w:rPr>
        <w:t xml:space="preserve">Create a policy statement setting out how pharmacy should ensure health equality and equity are properly considered in both the design of digital products and how they are used in pharmacy, </w:t>
      </w:r>
      <w:proofErr w:type="spellStart"/>
      <w:r w:rsidRPr="0098148E">
        <w:rPr>
          <w:rFonts w:eastAsia="Times New Roman" w:cstheme="minorHAnsi"/>
          <w:color w:val="000000"/>
        </w:rPr>
        <w:t>eg</w:t>
      </w:r>
      <w:proofErr w:type="spellEnd"/>
      <w:r w:rsidRPr="0098148E">
        <w:rPr>
          <w:rFonts w:eastAsia="Times New Roman" w:cstheme="minorHAnsi"/>
          <w:color w:val="000000"/>
        </w:rPr>
        <w:t>, digital inclusion, Down Syndrome Act, Sign language, information translation</w:t>
      </w:r>
      <w:r>
        <w:rPr>
          <w:rFonts w:eastAsia="Times New Roman" w:cstheme="minorHAnsi"/>
          <w:color w:val="000000"/>
        </w:rPr>
        <w:t>.</w:t>
      </w:r>
    </w:p>
    <w:p w14:paraId="5178B697" w14:textId="77777777" w:rsidR="00A01B31" w:rsidRPr="0098148E" w:rsidRDefault="00A01B31" w:rsidP="00A01B31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</w:rPr>
      </w:pPr>
      <w:r w:rsidRPr="0098148E">
        <w:rPr>
          <w:rFonts w:eastAsia="Times New Roman" w:cstheme="minorHAnsi"/>
          <w:color w:val="000000"/>
        </w:rPr>
        <w:t>Contribute to RPS policy on the role of digital in reducing health inequalities</w:t>
      </w:r>
      <w:r>
        <w:rPr>
          <w:rFonts w:eastAsia="Times New Roman" w:cstheme="minorHAnsi"/>
          <w:color w:val="000000"/>
        </w:rPr>
        <w:t>.</w:t>
      </w:r>
    </w:p>
    <w:p w14:paraId="1F01AB6E" w14:textId="77777777" w:rsidR="00A01B31" w:rsidRDefault="00A01B31" w:rsidP="00A01B31">
      <w:pPr>
        <w:rPr>
          <w:rFonts w:cstheme="minorHAnsi"/>
        </w:rPr>
      </w:pPr>
    </w:p>
    <w:p w14:paraId="7362434B" w14:textId="77777777" w:rsidR="00A01B31" w:rsidRPr="0048098D" w:rsidRDefault="00A01B31" w:rsidP="00A01B31">
      <w:pPr>
        <w:rPr>
          <w:rFonts w:cstheme="minorHAnsi"/>
          <w:b/>
          <w:bCs/>
          <w:u w:val="single"/>
        </w:rPr>
      </w:pPr>
      <w:r w:rsidRPr="0048098D">
        <w:rPr>
          <w:rFonts w:cstheme="minorHAnsi"/>
          <w:b/>
          <w:bCs/>
          <w:u w:val="single"/>
        </w:rPr>
        <w:t>Actions for Digital Pharmacy EAG</w:t>
      </w:r>
    </w:p>
    <w:p w14:paraId="2D63E86B" w14:textId="77777777" w:rsidR="00A01B31" w:rsidRPr="0048098D" w:rsidRDefault="00A01B31" w:rsidP="00A01B31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48098D">
        <w:rPr>
          <w:rFonts w:cstheme="minorHAnsi"/>
          <w:b/>
          <w:bCs/>
        </w:rPr>
        <w:t>Advise RPS on future digital developments</w:t>
      </w:r>
    </w:p>
    <w:p w14:paraId="6CD82025" w14:textId="77777777" w:rsidR="00A01B31" w:rsidRPr="0098148E" w:rsidRDefault="00A01B31" w:rsidP="00A01B31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</w:rPr>
      </w:pPr>
      <w:r w:rsidRPr="0098148E">
        <w:rPr>
          <w:rFonts w:eastAsia="Times New Roman" w:cstheme="minorHAnsi"/>
          <w:color w:val="000000"/>
        </w:rPr>
        <w:t>Form a digital network, led by the Digital Pharmacy EAG, to undertake horizon scanning for digital developments (such as artificial intelligence, machine learning, software applications, automation, drone) that will have a significant impact on pharmacy practice.</w:t>
      </w:r>
    </w:p>
    <w:p w14:paraId="3A560C06" w14:textId="77777777" w:rsidR="00A01B31" w:rsidRPr="0098148E" w:rsidRDefault="00A01B31" w:rsidP="00A01B31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Make</w:t>
      </w:r>
      <w:r w:rsidRPr="0098148E">
        <w:rPr>
          <w:rFonts w:eastAsia="Times New Roman" w:cstheme="minorHAnsi"/>
          <w:color w:val="000000"/>
        </w:rPr>
        <w:t xml:space="preserve"> recommendations </w:t>
      </w:r>
      <w:r>
        <w:rPr>
          <w:rFonts w:eastAsia="Times New Roman" w:cstheme="minorHAnsi"/>
          <w:color w:val="000000"/>
        </w:rPr>
        <w:t xml:space="preserve">to RPS on where there is a need for </w:t>
      </w:r>
      <w:r w:rsidRPr="0098148E">
        <w:rPr>
          <w:rFonts w:eastAsia="Times New Roman" w:cstheme="minorHAnsi"/>
          <w:color w:val="000000"/>
        </w:rPr>
        <w:t xml:space="preserve">guidance for pharmacists on new digital developments, such as use of automation. </w:t>
      </w:r>
    </w:p>
    <w:p w14:paraId="12182144" w14:textId="77777777" w:rsidR="00A01B31" w:rsidRDefault="00A01B31" w:rsidP="00A01B31">
      <w:pPr>
        <w:rPr>
          <w:rFonts w:eastAsia="Times New Roman" w:cstheme="minorHAnsi"/>
          <w:color w:val="000000"/>
        </w:rPr>
      </w:pPr>
    </w:p>
    <w:p w14:paraId="42C0F470" w14:textId="77777777" w:rsidR="00A01B31" w:rsidRPr="0048098D" w:rsidRDefault="00A01B31" w:rsidP="00A01B31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b/>
          <w:bCs/>
        </w:rPr>
      </w:pPr>
      <w:r w:rsidRPr="0048098D">
        <w:rPr>
          <w:rFonts w:cstheme="minorHAnsi"/>
          <w:b/>
          <w:bCs/>
        </w:rPr>
        <w:t>Support priorities identified above:</w:t>
      </w:r>
    </w:p>
    <w:p w14:paraId="7F6E3224" w14:textId="77777777" w:rsidR="00A01B31" w:rsidRPr="0048098D" w:rsidRDefault="00A01B31" w:rsidP="00A01B31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000000"/>
        </w:rPr>
      </w:pPr>
      <w:r w:rsidRPr="0048098D">
        <w:rPr>
          <w:rFonts w:cstheme="minorHAnsi"/>
        </w:rPr>
        <w:t xml:space="preserve">Form subgroup of the Digital Pharmacy EAG to contribute to policy development on interoperability. </w:t>
      </w:r>
    </w:p>
    <w:p w14:paraId="41869DE4" w14:textId="40C26DCC" w:rsidR="00A01B31" w:rsidRPr="00A01B31" w:rsidRDefault="00A01B31" w:rsidP="00A01B31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000000"/>
        </w:rPr>
      </w:pPr>
      <w:r w:rsidRPr="0048098D">
        <w:rPr>
          <w:rFonts w:cstheme="minorHAnsi"/>
        </w:rPr>
        <w:t xml:space="preserve">Form subgroup of the Digital Pharmacy EAG to contribute to policy development on </w:t>
      </w:r>
      <w:r>
        <w:rPr>
          <w:rFonts w:cstheme="minorHAnsi"/>
        </w:rPr>
        <w:t xml:space="preserve">digital education and career development. </w:t>
      </w:r>
    </w:p>
    <w:p w14:paraId="7DFB0BEA" w14:textId="230503ED" w:rsidR="00A01B31" w:rsidRDefault="00A01B31" w:rsidP="00A01B31">
      <w:pPr>
        <w:pStyle w:val="ListParagraph"/>
        <w:spacing w:after="0" w:line="240" w:lineRule="auto"/>
        <w:rPr>
          <w:rFonts w:cstheme="minorHAnsi"/>
        </w:rPr>
      </w:pPr>
    </w:p>
    <w:p w14:paraId="7F58A775" w14:textId="2FD5C54B" w:rsidR="00A01B31" w:rsidRPr="00A01B31" w:rsidRDefault="00A01B31" w:rsidP="00A01B31">
      <w:pPr>
        <w:jc w:val="right"/>
        <w:rPr>
          <w:b/>
          <w:bCs/>
        </w:rPr>
      </w:pPr>
      <w:r w:rsidRPr="00A01B31">
        <w:rPr>
          <w:rFonts w:eastAsia="Times New Roman" w:cstheme="minorHAnsi"/>
          <w:b/>
          <w:bCs/>
          <w:color w:val="000000"/>
        </w:rPr>
        <w:t>September 2022</w:t>
      </w:r>
    </w:p>
    <w:sectPr w:rsidR="00A01B31" w:rsidRPr="00A01B3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A7D3" w14:textId="77777777" w:rsidR="00E433C1" w:rsidRDefault="00E433C1" w:rsidP="00E14CCB">
      <w:pPr>
        <w:spacing w:after="0" w:line="240" w:lineRule="auto"/>
      </w:pPr>
      <w:r>
        <w:separator/>
      </w:r>
    </w:p>
  </w:endnote>
  <w:endnote w:type="continuationSeparator" w:id="0">
    <w:p w14:paraId="758873CF" w14:textId="77777777" w:rsidR="00E433C1" w:rsidRDefault="00E433C1" w:rsidP="00E1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28437" w14:textId="77777777" w:rsidR="00E433C1" w:rsidRDefault="00E433C1" w:rsidP="00E14CCB">
      <w:pPr>
        <w:spacing w:after="0" w:line="240" w:lineRule="auto"/>
      </w:pPr>
      <w:r>
        <w:separator/>
      </w:r>
    </w:p>
  </w:footnote>
  <w:footnote w:type="continuationSeparator" w:id="0">
    <w:p w14:paraId="609F1B44" w14:textId="77777777" w:rsidR="00E433C1" w:rsidRDefault="00E433C1" w:rsidP="00E1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312C" w14:textId="3DBD414A" w:rsidR="00E14CCB" w:rsidRDefault="00E14CCB">
    <w:pPr>
      <w:pStyle w:val="Header"/>
    </w:pPr>
    <w:r w:rsidRPr="00BB06E3">
      <w:rPr>
        <w:noProof/>
        <w:lang w:eastAsia="en-GB"/>
      </w:rPr>
      <w:drawing>
        <wp:inline distT="0" distB="0" distL="0" distR="0" wp14:anchorId="71F68B44" wp14:editId="42A1F983">
          <wp:extent cx="1647825" cy="486647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PS_Primary_Brandmark_Dark_R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929" cy="493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6E5"/>
    <w:multiLevelType w:val="hybridMultilevel"/>
    <w:tmpl w:val="4538E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9789F"/>
    <w:multiLevelType w:val="hybridMultilevel"/>
    <w:tmpl w:val="88165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B3D03"/>
    <w:multiLevelType w:val="hybridMultilevel"/>
    <w:tmpl w:val="780A8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6FF6"/>
    <w:multiLevelType w:val="hybridMultilevel"/>
    <w:tmpl w:val="DB366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77796"/>
    <w:multiLevelType w:val="hybridMultilevel"/>
    <w:tmpl w:val="C2362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46C2F"/>
    <w:multiLevelType w:val="hybridMultilevel"/>
    <w:tmpl w:val="AE8848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F840A0"/>
    <w:multiLevelType w:val="hybridMultilevel"/>
    <w:tmpl w:val="EF4A71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B3F69"/>
    <w:multiLevelType w:val="hybridMultilevel"/>
    <w:tmpl w:val="9DCC2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DF071D"/>
    <w:multiLevelType w:val="hybridMultilevel"/>
    <w:tmpl w:val="A69E7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A26FF"/>
    <w:multiLevelType w:val="multilevel"/>
    <w:tmpl w:val="6A12B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9F6BC6"/>
    <w:multiLevelType w:val="hybridMultilevel"/>
    <w:tmpl w:val="B5981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002ED"/>
    <w:multiLevelType w:val="hybridMultilevel"/>
    <w:tmpl w:val="3C82B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E4429"/>
    <w:multiLevelType w:val="hybridMultilevel"/>
    <w:tmpl w:val="2786B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450DC"/>
    <w:multiLevelType w:val="hybridMultilevel"/>
    <w:tmpl w:val="E2B4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563C6"/>
    <w:multiLevelType w:val="hybridMultilevel"/>
    <w:tmpl w:val="E45C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518C8"/>
    <w:multiLevelType w:val="hybridMultilevel"/>
    <w:tmpl w:val="DE169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92D72"/>
    <w:multiLevelType w:val="hybridMultilevel"/>
    <w:tmpl w:val="1B98F256"/>
    <w:lvl w:ilvl="0" w:tplc="EBEA330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3D6416"/>
    <w:multiLevelType w:val="hybridMultilevel"/>
    <w:tmpl w:val="F8268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7C33C0"/>
    <w:multiLevelType w:val="hybridMultilevel"/>
    <w:tmpl w:val="F8D21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D65689"/>
    <w:multiLevelType w:val="hybridMultilevel"/>
    <w:tmpl w:val="3F74D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030871">
    <w:abstractNumId w:val="11"/>
  </w:num>
  <w:num w:numId="2" w16cid:durableId="393046493">
    <w:abstractNumId w:val="13"/>
  </w:num>
  <w:num w:numId="3" w16cid:durableId="1275018722">
    <w:abstractNumId w:val="14"/>
  </w:num>
  <w:num w:numId="4" w16cid:durableId="2050491906">
    <w:abstractNumId w:val="18"/>
  </w:num>
  <w:num w:numId="5" w16cid:durableId="253439547">
    <w:abstractNumId w:val="0"/>
  </w:num>
  <w:num w:numId="6" w16cid:durableId="1672025339">
    <w:abstractNumId w:val="3"/>
  </w:num>
  <w:num w:numId="7" w16cid:durableId="534196830">
    <w:abstractNumId w:val="9"/>
  </w:num>
  <w:num w:numId="8" w16cid:durableId="493304621">
    <w:abstractNumId w:val="1"/>
  </w:num>
  <w:num w:numId="9" w16cid:durableId="713886628">
    <w:abstractNumId w:val="15"/>
  </w:num>
  <w:num w:numId="10" w16cid:durableId="333073694">
    <w:abstractNumId w:val="6"/>
  </w:num>
  <w:num w:numId="11" w16cid:durableId="1362050186">
    <w:abstractNumId w:val="8"/>
  </w:num>
  <w:num w:numId="12" w16cid:durableId="1934237092">
    <w:abstractNumId w:val="7"/>
  </w:num>
  <w:num w:numId="13" w16cid:durableId="421223762">
    <w:abstractNumId w:val="17"/>
  </w:num>
  <w:num w:numId="14" w16cid:durableId="1299140341">
    <w:abstractNumId w:val="19"/>
  </w:num>
  <w:num w:numId="15" w16cid:durableId="2108036491">
    <w:abstractNumId w:val="4"/>
  </w:num>
  <w:num w:numId="16" w16cid:durableId="1021053579">
    <w:abstractNumId w:val="2"/>
  </w:num>
  <w:num w:numId="17" w16cid:durableId="88282341">
    <w:abstractNumId w:val="12"/>
  </w:num>
  <w:num w:numId="18" w16cid:durableId="2135175856">
    <w:abstractNumId w:val="5"/>
  </w:num>
  <w:num w:numId="19" w16cid:durableId="1937404451">
    <w:abstractNumId w:val="10"/>
  </w:num>
  <w:num w:numId="20" w16cid:durableId="15121861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F1"/>
    <w:rsid w:val="000115F5"/>
    <w:rsid w:val="0002322D"/>
    <w:rsid w:val="00024F7C"/>
    <w:rsid w:val="0003110B"/>
    <w:rsid w:val="00042780"/>
    <w:rsid w:val="0004414A"/>
    <w:rsid w:val="000458D8"/>
    <w:rsid w:val="00046FE2"/>
    <w:rsid w:val="00053BC1"/>
    <w:rsid w:val="00077B54"/>
    <w:rsid w:val="00084177"/>
    <w:rsid w:val="00087631"/>
    <w:rsid w:val="000B7090"/>
    <w:rsid w:val="000D22CC"/>
    <w:rsid w:val="00113607"/>
    <w:rsid w:val="00171EA0"/>
    <w:rsid w:val="001A4A8D"/>
    <w:rsid w:val="001B66BB"/>
    <w:rsid w:val="001C2316"/>
    <w:rsid w:val="001F052E"/>
    <w:rsid w:val="00201041"/>
    <w:rsid w:val="00201CC0"/>
    <w:rsid w:val="00201D48"/>
    <w:rsid w:val="00203544"/>
    <w:rsid w:val="00216E91"/>
    <w:rsid w:val="002173E9"/>
    <w:rsid w:val="0024350B"/>
    <w:rsid w:val="002501B4"/>
    <w:rsid w:val="00261F60"/>
    <w:rsid w:val="0026426F"/>
    <w:rsid w:val="002A1498"/>
    <w:rsid w:val="002A334F"/>
    <w:rsid w:val="002A3882"/>
    <w:rsid w:val="00314CA3"/>
    <w:rsid w:val="00327C7D"/>
    <w:rsid w:val="003303AD"/>
    <w:rsid w:val="003423F6"/>
    <w:rsid w:val="003501BC"/>
    <w:rsid w:val="003561CE"/>
    <w:rsid w:val="00357330"/>
    <w:rsid w:val="00384591"/>
    <w:rsid w:val="0038707E"/>
    <w:rsid w:val="00394996"/>
    <w:rsid w:val="003B69D9"/>
    <w:rsid w:val="003F395D"/>
    <w:rsid w:val="00406F24"/>
    <w:rsid w:val="004130F1"/>
    <w:rsid w:val="00424FE7"/>
    <w:rsid w:val="00440EA2"/>
    <w:rsid w:val="004429FB"/>
    <w:rsid w:val="00470C4A"/>
    <w:rsid w:val="0048084C"/>
    <w:rsid w:val="0049121C"/>
    <w:rsid w:val="00497979"/>
    <w:rsid w:val="00497F3A"/>
    <w:rsid w:val="004C0CAA"/>
    <w:rsid w:val="004E3778"/>
    <w:rsid w:val="004F6BD6"/>
    <w:rsid w:val="005073D4"/>
    <w:rsid w:val="0051027F"/>
    <w:rsid w:val="00554F7C"/>
    <w:rsid w:val="0056385B"/>
    <w:rsid w:val="00611BB8"/>
    <w:rsid w:val="00614303"/>
    <w:rsid w:val="006531F5"/>
    <w:rsid w:val="00665FDA"/>
    <w:rsid w:val="00686541"/>
    <w:rsid w:val="006A4A57"/>
    <w:rsid w:val="006A627B"/>
    <w:rsid w:val="006B4427"/>
    <w:rsid w:val="006B4C29"/>
    <w:rsid w:val="006D0ABB"/>
    <w:rsid w:val="006D5C21"/>
    <w:rsid w:val="006E1586"/>
    <w:rsid w:val="006F105D"/>
    <w:rsid w:val="006F2AC8"/>
    <w:rsid w:val="006F726D"/>
    <w:rsid w:val="007071EA"/>
    <w:rsid w:val="007220DC"/>
    <w:rsid w:val="00730386"/>
    <w:rsid w:val="00754B3A"/>
    <w:rsid w:val="0077311F"/>
    <w:rsid w:val="00776282"/>
    <w:rsid w:val="00794790"/>
    <w:rsid w:val="00795C6B"/>
    <w:rsid w:val="007A14A5"/>
    <w:rsid w:val="007C2F28"/>
    <w:rsid w:val="007E1598"/>
    <w:rsid w:val="00800DD2"/>
    <w:rsid w:val="00804699"/>
    <w:rsid w:val="00804DA4"/>
    <w:rsid w:val="00834C73"/>
    <w:rsid w:val="008421E0"/>
    <w:rsid w:val="008C17EC"/>
    <w:rsid w:val="008D18F7"/>
    <w:rsid w:val="008D7762"/>
    <w:rsid w:val="008D7C71"/>
    <w:rsid w:val="008E1050"/>
    <w:rsid w:val="008E2B6F"/>
    <w:rsid w:val="008E389E"/>
    <w:rsid w:val="00935F99"/>
    <w:rsid w:val="009479A5"/>
    <w:rsid w:val="00977484"/>
    <w:rsid w:val="00990A5F"/>
    <w:rsid w:val="009E208F"/>
    <w:rsid w:val="009F4560"/>
    <w:rsid w:val="009F6519"/>
    <w:rsid w:val="00A01B31"/>
    <w:rsid w:val="00A442CD"/>
    <w:rsid w:val="00A72878"/>
    <w:rsid w:val="00A8082F"/>
    <w:rsid w:val="00AA26D9"/>
    <w:rsid w:val="00AA5AE0"/>
    <w:rsid w:val="00AA769F"/>
    <w:rsid w:val="00AB541A"/>
    <w:rsid w:val="00AF2136"/>
    <w:rsid w:val="00B01DCF"/>
    <w:rsid w:val="00B044DD"/>
    <w:rsid w:val="00B066BF"/>
    <w:rsid w:val="00B241B5"/>
    <w:rsid w:val="00B24423"/>
    <w:rsid w:val="00B26932"/>
    <w:rsid w:val="00B3026F"/>
    <w:rsid w:val="00B34421"/>
    <w:rsid w:val="00B36C5E"/>
    <w:rsid w:val="00B412BD"/>
    <w:rsid w:val="00B6000E"/>
    <w:rsid w:val="00B611CB"/>
    <w:rsid w:val="00B653A2"/>
    <w:rsid w:val="00B737AA"/>
    <w:rsid w:val="00B84675"/>
    <w:rsid w:val="00B95E6F"/>
    <w:rsid w:val="00BC7B81"/>
    <w:rsid w:val="00BD0914"/>
    <w:rsid w:val="00BD414B"/>
    <w:rsid w:val="00BE2058"/>
    <w:rsid w:val="00BE4E2E"/>
    <w:rsid w:val="00BE5822"/>
    <w:rsid w:val="00BF7FFA"/>
    <w:rsid w:val="00C32BE2"/>
    <w:rsid w:val="00C5129B"/>
    <w:rsid w:val="00C5682A"/>
    <w:rsid w:val="00C834C9"/>
    <w:rsid w:val="00C90D6E"/>
    <w:rsid w:val="00CA11AF"/>
    <w:rsid w:val="00CB5918"/>
    <w:rsid w:val="00CE1007"/>
    <w:rsid w:val="00CE3DB5"/>
    <w:rsid w:val="00CF0B7F"/>
    <w:rsid w:val="00CF490F"/>
    <w:rsid w:val="00D04580"/>
    <w:rsid w:val="00D132B8"/>
    <w:rsid w:val="00D14202"/>
    <w:rsid w:val="00D24B83"/>
    <w:rsid w:val="00D2561F"/>
    <w:rsid w:val="00D367E3"/>
    <w:rsid w:val="00D52EE9"/>
    <w:rsid w:val="00D543F1"/>
    <w:rsid w:val="00D72312"/>
    <w:rsid w:val="00D7737B"/>
    <w:rsid w:val="00D8167B"/>
    <w:rsid w:val="00D84714"/>
    <w:rsid w:val="00D949D6"/>
    <w:rsid w:val="00DA48C2"/>
    <w:rsid w:val="00DB05F0"/>
    <w:rsid w:val="00DB2E68"/>
    <w:rsid w:val="00DC20FA"/>
    <w:rsid w:val="00DD5BE4"/>
    <w:rsid w:val="00DD7DBE"/>
    <w:rsid w:val="00DF1D57"/>
    <w:rsid w:val="00DF3416"/>
    <w:rsid w:val="00E05338"/>
    <w:rsid w:val="00E14CCB"/>
    <w:rsid w:val="00E14E63"/>
    <w:rsid w:val="00E326BB"/>
    <w:rsid w:val="00E433C1"/>
    <w:rsid w:val="00E54ADF"/>
    <w:rsid w:val="00E55ED0"/>
    <w:rsid w:val="00E77F14"/>
    <w:rsid w:val="00E92131"/>
    <w:rsid w:val="00EC2F72"/>
    <w:rsid w:val="00EC5767"/>
    <w:rsid w:val="00EE5930"/>
    <w:rsid w:val="00EF0DC0"/>
    <w:rsid w:val="00F10FC8"/>
    <w:rsid w:val="00F205C4"/>
    <w:rsid w:val="00F27759"/>
    <w:rsid w:val="00F41A50"/>
    <w:rsid w:val="00F50519"/>
    <w:rsid w:val="00F756D9"/>
    <w:rsid w:val="00F84257"/>
    <w:rsid w:val="00FB1542"/>
    <w:rsid w:val="00FD18B4"/>
    <w:rsid w:val="0DD6EDA1"/>
    <w:rsid w:val="0E05C380"/>
    <w:rsid w:val="11147818"/>
    <w:rsid w:val="1543C3E0"/>
    <w:rsid w:val="24701D7C"/>
    <w:rsid w:val="2C4AE35A"/>
    <w:rsid w:val="358D1010"/>
    <w:rsid w:val="3DB2302D"/>
    <w:rsid w:val="551C3698"/>
    <w:rsid w:val="58DB6853"/>
    <w:rsid w:val="6162538B"/>
    <w:rsid w:val="620DAF65"/>
    <w:rsid w:val="6469F6DB"/>
    <w:rsid w:val="6F5A40FA"/>
    <w:rsid w:val="79BEF474"/>
    <w:rsid w:val="7F08C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BE26"/>
  <w15:chartTrackingRefBased/>
  <w15:docId w15:val="{F9B88551-0773-44E6-9E77-63BC30B8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0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130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30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13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CB"/>
  </w:style>
  <w:style w:type="paragraph" w:styleId="Footer">
    <w:name w:val="footer"/>
    <w:basedOn w:val="Normal"/>
    <w:link w:val="FooterChar"/>
    <w:uiPriority w:val="99"/>
    <w:unhideWhenUsed/>
    <w:rsid w:val="00E14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CB"/>
  </w:style>
  <w:style w:type="paragraph" w:styleId="BalloonText">
    <w:name w:val="Balloon Text"/>
    <w:basedOn w:val="Normal"/>
    <w:link w:val="BalloonTextChar"/>
    <w:uiPriority w:val="99"/>
    <w:semiHidden/>
    <w:unhideWhenUsed/>
    <w:rsid w:val="00DA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7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75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B36C5E"/>
    <w:pPr>
      <w:spacing w:line="252" w:lineRule="auto"/>
      <w:ind w:left="720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241B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1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1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4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1498"/>
    <w:pPr>
      <w:spacing w:after="0" w:line="240" w:lineRule="auto"/>
    </w:pPr>
  </w:style>
  <w:style w:type="character" w:customStyle="1" w:styleId="defaultfonthxmailstyle">
    <w:name w:val="defaultfonthxmailstyle"/>
    <w:basedOn w:val="DefaultParagraphFont"/>
    <w:rsid w:val="00E14E63"/>
    <w:rPr>
      <w:rFonts w:ascii="Calibri Light" w:hAnsi="Calibri Light" w:cs="Calibri Light" w:hint="default"/>
      <w:b w:val="0"/>
      <w:bCs w:val="0"/>
      <w:i w:val="0"/>
      <w:iCs w:val="0"/>
      <w:strike w:val="0"/>
      <w:dstrike w:val="0"/>
      <w:color w:val="4472C4"/>
      <w:u w:val="none"/>
      <w:effect w:val="none"/>
    </w:rPr>
  </w:style>
  <w:style w:type="paragraph" w:customStyle="1" w:styleId="xmsonormal">
    <w:name w:val="x_msonormal"/>
    <w:basedOn w:val="Normal"/>
    <w:rsid w:val="00A01B31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harms.com/about-us/who-we-are/expert-advisors/digital-pharmacy-expert-advisory-gro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br01.safelinks.protection.outlook.com/?url=https%3A%2F%2Frpharms.zoom.us%2Fj%2F93795587145%3Fpwd%3DYndmQTVla3lFSjQ2T0c1UFdUNFpOZz09&amp;data=05%7C01%7CCarolyn.Rattray%40rpharms.com%7C78fb862aabf44116964508dad6b47c66%7C99193c61658d4076952f07c345a3be97%7C0%7C0%7C638058367904045945%7CUnknown%7CTWFpbGZsb3d8eyJWIjoiMC4wLjAwMDAiLCJQIjoiV2luMzIiLCJBTiI6Ik1haWwiLCJXVCI6Mn0%3D%7C3000%7C%7C%7C&amp;sdata=iIyYv%2FfuyovCYfLfIe%2Bz1addpf38JlRncVIdouSHG28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Digital Pharmacy Expert Advisory Group Agenda</vt:lpstr>
      <vt:lpstr>    1: Recognition</vt:lpstr>
      <vt:lpstr>    2: Relevance</vt:lpstr>
      <vt:lpstr>    3: Communication</vt:lpstr>
      <vt:lpstr>    4: Any other business 					11.55-12.00			</vt:lpstr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Morrison</dc:creator>
  <cp:keywords/>
  <dc:description/>
  <cp:lastModifiedBy>Carolyn Rattray</cp:lastModifiedBy>
  <cp:revision>5</cp:revision>
  <dcterms:created xsi:type="dcterms:W3CDTF">2023-01-19T16:25:00Z</dcterms:created>
  <dcterms:modified xsi:type="dcterms:W3CDTF">2023-01-25T09:21:00Z</dcterms:modified>
</cp:coreProperties>
</file>