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45182B08">
        <w:trPr>
          <w:cantSplit/>
        </w:trPr>
        <w:tc>
          <w:tcPr>
            <w:tcW w:w="908" w:type="pct"/>
            <w:shd w:val="clear" w:color="auto" w:fill="FFFFFF" w:themeFill="background1"/>
          </w:tcPr>
          <w:p w14:paraId="66C01EFF" w14:textId="77777777" w:rsidR="00661D47" w:rsidRPr="006B094C" w:rsidRDefault="00661D47" w:rsidP="00533D9C">
            <w:pPr>
              <w:rPr>
                <w:rFonts w:cs="Arial"/>
                <w:b/>
                <w:szCs w:val="22"/>
              </w:rPr>
            </w:pPr>
          </w:p>
        </w:tc>
        <w:tc>
          <w:tcPr>
            <w:tcW w:w="4092" w:type="pct"/>
            <w:shd w:val="clear" w:color="auto" w:fill="FFFFFF" w:themeFill="background1"/>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081E896C" w14:textId="77777777" w:rsidR="003F155B" w:rsidRDefault="003F155B" w:rsidP="003F155B">
            <w:pPr>
              <w:shd w:val="clear" w:color="auto" w:fill="FFFFFF"/>
              <w:spacing w:line="276" w:lineRule="auto"/>
              <w:rPr>
                <w:rFonts w:cs="Arial"/>
                <w:szCs w:val="22"/>
              </w:rPr>
            </w:pPr>
          </w:p>
          <w:p w14:paraId="74D25DD8" w14:textId="1C6FCD2A" w:rsidR="00661D47" w:rsidRPr="003F155B" w:rsidRDefault="00661D47" w:rsidP="003F155B">
            <w:pPr>
              <w:shd w:val="clear" w:color="auto" w:fill="FFFFFF"/>
              <w:spacing w:line="276" w:lineRule="auto"/>
              <w:rPr>
                <w:rFonts w:cs="Arial"/>
                <w:szCs w:val="22"/>
              </w:rPr>
            </w:pPr>
            <w:r w:rsidRPr="003F155B">
              <w:rPr>
                <w:rFonts w:cs="Arial"/>
                <w:szCs w:val="22"/>
              </w:rPr>
              <w:t xml:space="preserve">See </w:t>
            </w:r>
            <w:hyperlink r:id="rId9" w:history="1">
              <w:hyperlink r:id="rId10" w:history="1">
                <w:r w:rsidRPr="003F155B">
                  <w:rPr>
                    <w:rStyle w:val="Hyperlink"/>
                    <w:rFonts w:cs="Arial"/>
                    <w:szCs w:val="22"/>
                  </w:rPr>
                  <w:t>Developing NICE guidance: how to get involved</w:t>
                </w:r>
              </w:hyperlink>
            </w:hyperlink>
            <w:r w:rsidRPr="003F155B">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45182B08">
        <w:trPr>
          <w:cantSplit/>
        </w:trPr>
        <w:tc>
          <w:tcPr>
            <w:tcW w:w="908" w:type="pct"/>
            <w:shd w:val="clear" w:color="auto" w:fill="FFFFFF" w:themeFill="background1"/>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hemeFill="background1"/>
          </w:tcPr>
          <w:p w14:paraId="472CCF06" w14:textId="61093CB6" w:rsidR="00661D47" w:rsidRPr="006B094C" w:rsidRDefault="45182B08" w:rsidP="45182B08">
            <w:pPr>
              <w:spacing w:before="240"/>
              <w:rPr>
                <w:rFonts w:cs="Arial"/>
              </w:rPr>
            </w:pPr>
            <w:r w:rsidRPr="45182B08">
              <w:rPr>
                <w:rFonts w:cs="Arial"/>
              </w:rPr>
              <w:t>Royal Pharmaceutical Society</w:t>
            </w:r>
          </w:p>
        </w:tc>
      </w:tr>
      <w:tr w:rsidR="00661D47" w:rsidRPr="006B094C" w14:paraId="279D2AAA" w14:textId="77777777" w:rsidTr="45182B08">
        <w:trPr>
          <w:cantSplit/>
        </w:trPr>
        <w:tc>
          <w:tcPr>
            <w:tcW w:w="908" w:type="pct"/>
            <w:shd w:val="clear" w:color="auto" w:fill="FFFFFF" w:themeFill="background1"/>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hemeFill="background1"/>
          </w:tcPr>
          <w:p w14:paraId="3E6E46C1" w14:textId="32EA148E" w:rsidR="00661D47" w:rsidRPr="006B094C" w:rsidRDefault="00661D47" w:rsidP="45182B08">
            <w:pPr>
              <w:spacing w:before="240"/>
              <w:rPr>
                <w:rFonts w:cs="Arial"/>
              </w:rPr>
            </w:pPr>
          </w:p>
        </w:tc>
      </w:tr>
      <w:tr w:rsidR="00661D47" w:rsidRPr="006B094C" w14:paraId="5A2A9325" w14:textId="77777777" w:rsidTr="45182B08">
        <w:trPr>
          <w:cantSplit/>
        </w:trPr>
        <w:tc>
          <w:tcPr>
            <w:tcW w:w="908" w:type="pct"/>
            <w:shd w:val="clear" w:color="auto" w:fill="FFFFFF" w:themeFill="background1"/>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hemeFill="background1"/>
          </w:tcPr>
          <w:p w14:paraId="1628766C" w14:textId="05509903" w:rsidR="00661D47" w:rsidRDefault="00661D47" w:rsidP="45182B08">
            <w:pPr>
              <w:rPr>
                <w:szCs w:val="22"/>
              </w:rPr>
            </w:pPr>
          </w:p>
          <w:p w14:paraId="10806D9A" w14:textId="307DCA56" w:rsidR="45182B08" w:rsidRDefault="45182B08" w:rsidP="45182B08">
            <w:pPr>
              <w:rPr>
                <w:szCs w:val="22"/>
              </w:rPr>
            </w:pPr>
            <w:r w:rsidRPr="45182B08">
              <w:rPr>
                <w:szCs w:val="22"/>
              </w:rPr>
              <w:t>Heidi Wright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45182B08">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699315A" w14:textId="77777777" w:rsidTr="45182B08">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573C9951" w:rsidR="00661D47" w:rsidRPr="006B094C" w:rsidRDefault="45182B08" w:rsidP="45182B08">
            <w:pPr>
              <w:rPr>
                <w:rFonts w:cs="Arial"/>
              </w:rPr>
            </w:pPr>
            <w:r w:rsidRPr="45182B08">
              <w:rPr>
                <w:rFonts w:cs="Arial"/>
              </w:rPr>
              <w:t>Guideline</w:t>
            </w:r>
          </w:p>
        </w:tc>
        <w:tc>
          <w:tcPr>
            <w:tcW w:w="349" w:type="pct"/>
          </w:tcPr>
          <w:p w14:paraId="6AFBCB28" w14:textId="4693460D" w:rsidR="00661D47" w:rsidRPr="006B094C" w:rsidRDefault="45182B08" w:rsidP="45182B08">
            <w:pPr>
              <w:spacing w:line="259" w:lineRule="auto"/>
              <w:rPr>
                <w:szCs w:val="22"/>
              </w:rPr>
            </w:pPr>
            <w:r w:rsidRPr="45182B08">
              <w:rPr>
                <w:rFonts w:cs="Arial"/>
              </w:rPr>
              <w:t>General</w:t>
            </w:r>
          </w:p>
        </w:tc>
        <w:tc>
          <w:tcPr>
            <w:tcW w:w="383" w:type="pct"/>
          </w:tcPr>
          <w:p w14:paraId="58ADBDBB" w14:textId="5DE40AC0" w:rsidR="00661D47" w:rsidRPr="006B094C" w:rsidRDefault="45182B08" w:rsidP="45182B08">
            <w:pPr>
              <w:rPr>
                <w:rFonts w:cs="Arial"/>
              </w:rPr>
            </w:pPr>
            <w:r w:rsidRPr="45182B08">
              <w:rPr>
                <w:rFonts w:cs="Arial"/>
              </w:rPr>
              <w:t>General</w:t>
            </w:r>
          </w:p>
        </w:tc>
        <w:tc>
          <w:tcPr>
            <w:tcW w:w="3360" w:type="pct"/>
          </w:tcPr>
          <w:p w14:paraId="53FE014F" w14:textId="77777777" w:rsidR="00661D47" w:rsidRDefault="45182B08" w:rsidP="45182B08">
            <w:pPr>
              <w:rPr>
                <w:rFonts w:cs="Arial"/>
              </w:rPr>
            </w:pPr>
            <w:r w:rsidRPr="45182B08">
              <w:rPr>
                <w:rFonts w:cs="Arial"/>
              </w:rPr>
              <w:t>In general, we welcome the content of this guideline. However, we are aware that pharmacists, especially those working in primary care (GP practice, Community and Care Homes) could be better utilised to identify and provide vaccinations in the general population. We would welcome more inclusion of the pharmacy profession within this guideline.</w:t>
            </w:r>
          </w:p>
          <w:p w14:paraId="1C54A70C" w14:textId="14B3E251" w:rsidR="00B42BC1" w:rsidRPr="006B094C" w:rsidRDefault="00B42BC1" w:rsidP="45182B08">
            <w:pPr>
              <w:rPr>
                <w:rFonts w:cs="Arial"/>
              </w:rPr>
            </w:pPr>
          </w:p>
        </w:tc>
      </w:tr>
      <w:tr w:rsidR="00B42BC1" w:rsidRPr="006B094C" w14:paraId="33EEBC04" w14:textId="77777777" w:rsidTr="45182B08">
        <w:tc>
          <w:tcPr>
            <w:tcW w:w="463" w:type="pct"/>
          </w:tcPr>
          <w:p w14:paraId="7DE5A99E" w14:textId="5F6206FB" w:rsidR="00B42BC1" w:rsidRPr="006B094C" w:rsidRDefault="00A45A89" w:rsidP="00533D9C">
            <w:pPr>
              <w:rPr>
                <w:rFonts w:cs="Arial"/>
                <w:szCs w:val="22"/>
              </w:rPr>
            </w:pPr>
            <w:r>
              <w:rPr>
                <w:rFonts w:cs="Arial"/>
                <w:szCs w:val="22"/>
              </w:rPr>
              <w:t>2</w:t>
            </w:r>
          </w:p>
        </w:tc>
        <w:tc>
          <w:tcPr>
            <w:tcW w:w="445" w:type="pct"/>
          </w:tcPr>
          <w:p w14:paraId="6EA901D0" w14:textId="68B46E7F" w:rsidR="00B42BC1" w:rsidRDefault="00B42BC1" w:rsidP="45182B08">
            <w:pPr>
              <w:spacing w:line="259" w:lineRule="auto"/>
              <w:rPr>
                <w:rFonts w:cs="Arial"/>
              </w:rPr>
            </w:pPr>
            <w:r>
              <w:rPr>
                <w:rFonts w:cs="Arial"/>
              </w:rPr>
              <w:t>Guideline</w:t>
            </w:r>
          </w:p>
        </w:tc>
        <w:tc>
          <w:tcPr>
            <w:tcW w:w="349" w:type="pct"/>
          </w:tcPr>
          <w:p w14:paraId="64B78CA9" w14:textId="035144FD" w:rsidR="00B42BC1" w:rsidRDefault="00B42BC1" w:rsidP="45182B08">
            <w:pPr>
              <w:rPr>
                <w:rFonts w:cs="Arial"/>
              </w:rPr>
            </w:pPr>
            <w:r>
              <w:rPr>
                <w:rFonts w:cs="Arial"/>
              </w:rPr>
              <w:t>General</w:t>
            </w:r>
          </w:p>
        </w:tc>
        <w:tc>
          <w:tcPr>
            <w:tcW w:w="383" w:type="pct"/>
          </w:tcPr>
          <w:p w14:paraId="709C1239" w14:textId="19439BA6" w:rsidR="00B42BC1" w:rsidRDefault="00B42BC1" w:rsidP="45182B08">
            <w:pPr>
              <w:rPr>
                <w:rFonts w:cs="Arial"/>
              </w:rPr>
            </w:pPr>
            <w:r>
              <w:rPr>
                <w:rFonts w:cs="Arial"/>
              </w:rPr>
              <w:t>General</w:t>
            </w:r>
          </w:p>
        </w:tc>
        <w:tc>
          <w:tcPr>
            <w:tcW w:w="3360" w:type="pct"/>
          </w:tcPr>
          <w:p w14:paraId="44481FDF" w14:textId="7AB6594E" w:rsidR="00B42BC1" w:rsidRDefault="00B42BC1" w:rsidP="00B42BC1">
            <w:r>
              <w:t>T</w:t>
            </w:r>
            <w:r>
              <w:t xml:space="preserve">here may be an issue in some places with </w:t>
            </w:r>
            <w:r>
              <w:t xml:space="preserve">healthcare professionals </w:t>
            </w:r>
            <w:r>
              <w:t>offering incentives like chocolates or vouchers in return for people getting vaccinated. </w:t>
            </w:r>
            <w:r>
              <w:t>V</w:t>
            </w:r>
            <w:r>
              <w:t>accines are medicines</w:t>
            </w:r>
            <w:r>
              <w:t xml:space="preserve"> and not normal items of commerce and we believe that this approach may </w:t>
            </w:r>
            <w:proofErr w:type="gramStart"/>
            <w:r>
              <w:t>actually erode</w:t>
            </w:r>
            <w:proofErr w:type="gramEnd"/>
            <w:r>
              <w:t xml:space="preserve"> trust in </w:t>
            </w:r>
            <w:r>
              <w:t>healthcare professional</w:t>
            </w:r>
            <w:r>
              <w:t xml:space="preserve">s </w:t>
            </w:r>
            <w:r>
              <w:t xml:space="preserve">in the </w:t>
            </w:r>
            <w:r>
              <w:t>longer term</w:t>
            </w:r>
            <w:r>
              <w:t xml:space="preserve">.  </w:t>
            </w:r>
            <w:r>
              <w:t xml:space="preserve">As is mentioned in this </w:t>
            </w:r>
            <w:r>
              <w:t xml:space="preserve">guidance </w:t>
            </w:r>
            <w:r>
              <w:t>document we</w:t>
            </w:r>
            <w:r>
              <w:t xml:space="preserve"> believe we </w:t>
            </w:r>
            <w:r>
              <w:t>should be informing people professionally so they can make educated decisions and provide informed consent</w:t>
            </w:r>
            <w:r>
              <w:t xml:space="preserve"> to being vaccinated and incentives should not be used</w:t>
            </w:r>
            <w:r>
              <w:t>.</w:t>
            </w:r>
          </w:p>
          <w:p w14:paraId="2E7404F3" w14:textId="77777777" w:rsidR="00B42BC1" w:rsidRDefault="00B42BC1" w:rsidP="45182B08">
            <w:pPr>
              <w:rPr>
                <w:rFonts w:cs="Arial"/>
              </w:rPr>
            </w:pPr>
          </w:p>
        </w:tc>
      </w:tr>
      <w:tr w:rsidR="00B42BC1" w:rsidRPr="006B094C" w14:paraId="3B44178F" w14:textId="77777777" w:rsidTr="45182B08">
        <w:tc>
          <w:tcPr>
            <w:tcW w:w="463" w:type="pct"/>
          </w:tcPr>
          <w:p w14:paraId="69CB1295" w14:textId="4EB2B941" w:rsidR="00B42BC1" w:rsidRPr="006B094C" w:rsidRDefault="00A45A89" w:rsidP="00533D9C">
            <w:pPr>
              <w:rPr>
                <w:rFonts w:cs="Arial"/>
                <w:szCs w:val="22"/>
              </w:rPr>
            </w:pPr>
            <w:r>
              <w:rPr>
                <w:rFonts w:cs="Arial"/>
                <w:szCs w:val="22"/>
              </w:rPr>
              <w:t>3</w:t>
            </w:r>
          </w:p>
        </w:tc>
        <w:tc>
          <w:tcPr>
            <w:tcW w:w="445" w:type="pct"/>
          </w:tcPr>
          <w:p w14:paraId="2E94BAE4" w14:textId="5ADA07B0" w:rsidR="00B42BC1" w:rsidRPr="45182B08" w:rsidRDefault="00B42BC1" w:rsidP="45182B08">
            <w:pPr>
              <w:spacing w:line="259" w:lineRule="auto"/>
              <w:rPr>
                <w:rFonts w:cs="Arial"/>
              </w:rPr>
            </w:pPr>
            <w:r>
              <w:rPr>
                <w:rFonts w:cs="Arial"/>
              </w:rPr>
              <w:t>Guideline</w:t>
            </w:r>
          </w:p>
        </w:tc>
        <w:tc>
          <w:tcPr>
            <w:tcW w:w="349" w:type="pct"/>
          </w:tcPr>
          <w:p w14:paraId="1AD291B9" w14:textId="7965CA78" w:rsidR="00B42BC1" w:rsidRPr="45182B08" w:rsidRDefault="00B42BC1" w:rsidP="45182B08">
            <w:pPr>
              <w:rPr>
                <w:rFonts w:cs="Arial"/>
              </w:rPr>
            </w:pPr>
            <w:r>
              <w:rPr>
                <w:rFonts w:cs="Arial"/>
              </w:rPr>
              <w:t>4</w:t>
            </w:r>
          </w:p>
        </w:tc>
        <w:tc>
          <w:tcPr>
            <w:tcW w:w="383" w:type="pct"/>
          </w:tcPr>
          <w:p w14:paraId="1B2D3855" w14:textId="51154E23" w:rsidR="00B42BC1" w:rsidRPr="45182B08" w:rsidRDefault="00B42BC1" w:rsidP="45182B08">
            <w:pPr>
              <w:rPr>
                <w:rFonts w:cs="Arial"/>
              </w:rPr>
            </w:pPr>
            <w:r>
              <w:rPr>
                <w:rFonts w:cs="Arial"/>
              </w:rPr>
              <w:t>4</w:t>
            </w:r>
          </w:p>
        </w:tc>
        <w:tc>
          <w:tcPr>
            <w:tcW w:w="3360" w:type="pct"/>
          </w:tcPr>
          <w:p w14:paraId="58A6D34D" w14:textId="13050485" w:rsidR="00B42BC1" w:rsidRDefault="00B42BC1" w:rsidP="45182B08">
            <w:r>
              <w:rPr>
                <w:rFonts w:cs="Arial"/>
              </w:rPr>
              <w:t xml:space="preserve">We believe that the </w:t>
            </w:r>
            <w:r>
              <w:t>v</w:t>
            </w:r>
            <w:r>
              <w:t xml:space="preserve">accination lead </w:t>
            </w:r>
            <w:r>
              <w:t xml:space="preserve">should </w:t>
            </w:r>
            <w:r>
              <w:t>also be responsible for vaccine orders and storage governance</w:t>
            </w:r>
          </w:p>
          <w:p w14:paraId="30D6CB5A" w14:textId="52852344" w:rsidR="00B42BC1" w:rsidRPr="45182B08" w:rsidRDefault="00B42BC1" w:rsidP="45182B08">
            <w:pPr>
              <w:rPr>
                <w:rFonts w:cs="Arial"/>
              </w:rPr>
            </w:pPr>
          </w:p>
        </w:tc>
      </w:tr>
      <w:tr w:rsidR="00B42BC1" w:rsidRPr="006B094C" w14:paraId="27F6A35E" w14:textId="77777777" w:rsidTr="45182B08">
        <w:tc>
          <w:tcPr>
            <w:tcW w:w="463" w:type="pct"/>
          </w:tcPr>
          <w:p w14:paraId="192AAA39" w14:textId="3979C5EF" w:rsidR="00B42BC1" w:rsidRPr="006B094C" w:rsidRDefault="00A45A89" w:rsidP="00533D9C">
            <w:pPr>
              <w:rPr>
                <w:rFonts w:cs="Arial"/>
                <w:szCs w:val="22"/>
              </w:rPr>
            </w:pPr>
            <w:r>
              <w:rPr>
                <w:rFonts w:cs="Arial"/>
                <w:szCs w:val="22"/>
              </w:rPr>
              <w:t>4</w:t>
            </w:r>
          </w:p>
        </w:tc>
        <w:tc>
          <w:tcPr>
            <w:tcW w:w="445" w:type="pct"/>
          </w:tcPr>
          <w:p w14:paraId="14D1044F" w14:textId="76E510F6" w:rsidR="00B42BC1" w:rsidRPr="45182B08" w:rsidRDefault="00B42BC1" w:rsidP="45182B08">
            <w:pPr>
              <w:spacing w:line="259" w:lineRule="auto"/>
              <w:rPr>
                <w:rFonts w:cs="Arial"/>
              </w:rPr>
            </w:pPr>
            <w:r>
              <w:rPr>
                <w:rFonts w:cs="Arial"/>
              </w:rPr>
              <w:t>Guideline</w:t>
            </w:r>
          </w:p>
        </w:tc>
        <w:tc>
          <w:tcPr>
            <w:tcW w:w="349" w:type="pct"/>
          </w:tcPr>
          <w:p w14:paraId="319EF5A2" w14:textId="4CC8AE18" w:rsidR="00B42BC1" w:rsidRPr="45182B08" w:rsidRDefault="00B42BC1" w:rsidP="45182B08">
            <w:pPr>
              <w:rPr>
                <w:rFonts w:cs="Arial"/>
              </w:rPr>
            </w:pPr>
            <w:r>
              <w:rPr>
                <w:rFonts w:cs="Arial"/>
              </w:rPr>
              <w:t>5</w:t>
            </w:r>
          </w:p>
        </w:tc>
        <w:tc>
          <w:tcPr>
            <w:tcW w:w="383" w:type="pct"/>
          </w:tcPr>
          <w:p w14:paraId="3A4224C3" w14:textId="49CBAAF5" w:rsidR="00B42BC1" w:rsidRPr="45182B08" w:rsidRDefault="00B42BC1" w:rsidP="45182B08">
            <w:pPr>
              <w:rPr>
                <w:rFonts w:cs="Arial"/>
              </w:rPr>
            </w:pPr>
            <w:r>
              <w:rPr>
                <w:rFonts w:cs="Arial"/>
              </w:rPr>
              <w:t>1</w:t>
            </w:r>
          </w:p>
        </w:tc>
        <w:tc>
          <w:tcPr>
            <w:tcW w:w="3360" w:type="pct"/>
          </w:tcPr>
          <w:p w14:paraId="534726D4" w14:textId="77777777" w:rsidR="00B42BC1" w:rsidRDefault="00B42BC1" w:rsidP="45182B08">
            <w:pPr>
              <w:rPr>
                <w:rFonts w:cs="Arial"/>
              </w:rPr>
            </w:pPr>
            <w:r>
              <w:rPr>
                <w:rFonts w:cs="Arial"/>
              </w:rPr>
              <w:t>Secondary and tertiary care providers</w:t>
            </w:r>
            <w:r w:rsidRPr="00B42BC1">
              <w:rPr>
                <w:rFonts w:cs="Arial"/>
              </w:rPr>
              <w:t xml:space="preserve"> would find it hard to identify people who are unvaccinated without access to GP records and health care to health care professional referral might be more effective than "signposting". It is important that whoever gives vaccines records it on a central database so there is one single national record (ideally covering all the home nations).</w:t>
            </w:r>
          </w:p>
          <w:p w14:paraId="16892FAC" w14:textId="09B080BA" w:rsidR="00B42BC1" w:rsidRPr="45182B08" w:rsidRDefault="00B42BC1" w:rsidP="45182B08">
            <w:pPr>
              <w:rPr>
                <w:rFonts w:cs="Arial"/>
              </w:rPr>
            </w:pPr>
          </w:p>
        </w:tc>
      </w:tr>
      <w:tr w:rsidR="00B42BC1" w:rsidRPr="006B094C" w14:paraId="32BF33BC" w14:textId="77777777" w:rsidTr="45182B08">
        <w:tc>
          <w:tcPr>
            <w:tcW w:w="463" w:type="pct"/>
          </w:tcPr>
          <w:p w14:paraId="732C1D65" w14:textId="0FAB3B11" w:rsidR="00B42BC1" w:rsidRPr="006B094C" w:rsidRDefault="00A45A89" w:rsidP="00533D9C">
            <w:pPr>
              <w:rPr>
                <w:rFonts w:cs="Arial"/>
                <w:szCs w:val="22"/>
              </w:rPr>
            </w:pPr>
            <w:r>
              <w:rPr>
                <w:rFonts w:cs="Arial"/>
                <w:szCs w:val="22"/>
              </w:rPr>
              <w:t>5</w:t>
            </w:r>
          </w:p>
        </w:tc>
        <w:tc>
          <w:tcPr>
            <w:tcW w:w="445" w:type="pct"/>
          </w:tcPr>
          <w:p w14:paraId="7E709C74" w14:textId="064944C5" w:rsidR="00B42BC1" w:rsidRPr="45182B08" w:rsidRDefault="00B42BC1" w:rsidP="45182B08">
            <w:pPr>
              <w:spacing w:line="259" w:lineRule="auto"/>
              <w:rPr>
                <w:rFonts w:cs="Arial"/>
              </w:rPr>
            </w:pPr>
            <w:r>
              <w:rPr>
                <w:rFonts w:cs="Arial"/>
              </w:rPr>
              <w:t>Guideline</w:t>
            </w:r>
          </w:p>
        </w:tc>
        <w:tc>
          <w:tcPr>
            <w:tcW w:w="349" w:type="pct"/>
          </w:tcPr>
          <w:p w14:paraId="412F1C94" w14:textId="43DFF8A8" w:rsidR="00B42BC1" w:rsidRPr="45182B08" w:rsidRDefault="00B42BC1" w:rsidP="45182B08">
            <w:pPr>
              <w:rPr>
                <w:rFonts w:cs="Arial"/>
              </w:rPr>
            </w:pPr>
            <w:r>
              <w:rPr>
                <w:rFonts w:cs="Arial"/>
              </w:rPr>
              <w:t>6</w:t>
            </w:r>
          </w:p>
        </w:tc>
        <w:tc>
          <w:tcPr>
            <w:tcW w:w="383" w:type="pct"/>
          </w:tcPr>
          <w:p w14:paraId="47683F25" w14:textId="02531CA0" w:rsidR="00B42BC1" w:rsidRPr="45182B08" w:rsidRDefault="00B42BC1" w:rsidP="45182B08">
            <w:pPr>
              <w:rPr>
                <w:rFonts w:cs="Arial"/>
              </w:rPr>
            </w:pPr>
            <w:r>
              <w:rPr>
                <w:rFonts w:cs="Arial"/>
              </w:rPr>
              <w:t>2</w:t>
            </w:r>
          </w:p>
        </w:tc>
        <w:tc>
          <w:tcPr>
            <w:tcW w:w="3360" w:type="pct"/>
          </w:tcPr>
          <w:p w14:paraId="233D4F88" w14:textId="5D6D58B8" w:rsidR="00B42BC1" w:rsidRDefault="00B42BC1" w:rsidP="00B42BC1">
            <w:pPr>
              <w:rPr>
                <w:rFonts w:ascii="Calibri" w:hAnsi="Calibri"/>
                <w:lang w:eastAsia="en-GB"/>
              </w:rPr>
            </w:pPr>
            <w:r>
              <w:rPr>
                <w:rFonts w:ascii="ArialMT" w:hAnsi="ArialMT"/>
                <w:color w:val="000000"/>
              </w:rPr>
              <w:t>Any "local problem" is likely to be mirrored throughout the country. There are national</w:t>
            </w:r>
            <w:r>
              <w:rPr>
                <w:rFonts w:ascii="ArialMT" w:hAnsi="ArialMT"/>
                <w:color w:val="000000"/>
              </w:rPr>
              <w:t xml:space="preserve"> </w:t>
            </w:r>
            <w:r>
              <w:rPr>
                <w:rFonts w:ascii="ArialMT" w:hAnsi="ArialMT"/>
                <w:color w:val="000000"/>
              </w:rPr>
              <w:t>/</w:t>
            </w:r>
            <w:r>
              <w:rPr>
                <w:rFonts w:ascii="ArialMT" w:hAnsi="ArialMT"/>
                <w:color w:val="000000"/>
              </w:rPr>
              <w:t xml:space="preserve"> societal</w:t>
            </w:r>
            <w:r>
              <w:rPr>
                <w:rFonts w:ascii="ArialMT" w:hAnsi="ArialMT"/>
                <w:color w:val="000000"/>
              </w:rPr>
              <w:t xml:space="preserve"> barriers to vaccine uptake so the research on barriers to vaccine up</w:t>
            </w:r>
            <w:r>
              <w:rPr>
                <w:rFonts w:ascii="ArialMT" w:hAnsi="ArialMT"/>
                <w:color w:val="000000"/>
              </w:rPr>
              <w:t>take</w:t>
            </w:r>
            <w:r>
              <w:rPr>
                <w:rFonts w:ascii="ArialMT" w:hAnsi="ArialMT"/>
                <w:color w:val="000000"/>
              </w:rPr>
              <w:t xml:space="preserve"> should also be </w:t>
            </w:r>
            <w:r>
              <w:rPr>
                <w:rFonts w:ascii="ArialMT" w:hAnsi="ArialMT"/>
                <w:color w:val="000000"/>
              </w:rPr>
              <w:t>undertaken at a</w:t>
            </w:r>
            <w:r>
              <w:rPr>
                <w:rFonts w:ascii="ArialMT" w:hAnsi="ArialMT"/>
                <w:color w:val="000000"/>
              </w:rPr>
              <w:t xml:space="preserve"> national level. As well as incentives to vaccine uptake the advantages and disadvantages of </w:t>
            </w:r>
            <w:r w:rsidRPr="00B42BC1">
              <w:rPr>
                <w:rFonts w:ascii="ArialMT" w:hAnsi="ArialMT"/>
                <w:color w:val="000000"/>
              </w:rPr>
              <w:t>disincentives</w:t>
            </w:r>
            <w:r w:rsidRPr="00B42BC1">
              <w:rPr>
                <w:rFonts w:ascii="ArialMT" w:hAnsi="ArialMT"/>
                <w:color w:val="000000"/>
              </w:rPr>
              <w:t xml:space="preserve"> </w:t>
            </w:r>
            <w:r>
              <w:rPr>
                <w:rFonts w:ascii="ArialMT" w:hAnsi="ArialMT"/>
                <w:color w:val="000000"/>
              </w:rPr>
              <w:t xml:space="preserve">to vaccinations should be explored </w:t>
            </w:r>
            <w:r>
              <w:rPr>
                <w:rFonts w:ascii="ArialMT" w:hAnsi="ArialMT"/>
                <w:color w:val="000000"/>
              </w:rPr>
              <w:t>e.g.,</w:t>
            </w:r>
            <w:r>
              <w:rPr>
                <w:rFonts w:ascii="ArialMT" w:hAnsi="ArialMT"/>
                <w:color w:val="000000"/>
              </w:rPr>
              <w:t xml:space="preserve"> look at what other countries have done. </w:t>
            </w:r>
            <w:r>
              <w:rPr>
                <w:rFonts w:ascii="ArialMT" w:hAnsi="ArialMT"/>
                <w:color w:val="000000"/>
              </w:rPr>
              <w:t>Different approaches need to be explored i</w:t>
            </w:r>
            <w:r>
              <w:rPr>
                <w:rFonts w:ascii="ArialMT" w:hAnsi="ArialMT"/>
                <w:color w:val="000000"/>
              </w:rPr>
              <w:t>n a scientific way to gain evidence for or against such an approach. </w:t>
            </w:r>
          </w:p>
          <w:p w14:paraId="054B3F11" w14:textId="77777777" w:rsidR="00B42BC1" w:rsidRPr="45182B08" w:rsidRDefault="00B42BC1" w:rsidP="45182B08">
            <w:pPr>
              <w:rPr>
                <w:rFonts w:cs="Arial"/>
              </w:rPr>
            </w:pPr>
          </w:p>
        </w:tc>
      </w:tr>
      <w:tr w:rsidR="00B42BC1" w:rsidRPr="006B094C" w14:paraId="694EE166" w14:textId="77777777" w:rsidTr="45182B08">
        <w:tc>
          <w:tcPr>
            <w:tcW w:w="463" w:type="pct"/>
          </w:tcPr>
          <w:p w14:paraId="068F16F4" w14:textId="3705BB77" w:rsidR="00B42BC1" w:rsidRPr="006B094C" w:rsidRDefault="00A45A89" w:rsidP="00533D9C">
            <w:pPr>
              <w:rPr>
                <w:rFonts w:cs="Arial"/>
                <w:szCs w:val="22"/>
              </w:rPr>
            </w:pPr>
            <w:r>
              <w:rPr>
                <w:rFonts w:cs="Arial"/>
                <w:szCs w:val="22"/>
              </w:rPr>
              <w:t>6</w:t>
            </w:r>
          </w:p>
        </w:tc>
        <w:tc>
          <w:tcPr>
            <w:tcW w:w="445" w:type="pct"/>
          </w:tcPr>
          <w:p w14:paraId="3A703BAC" w14:textId="0F0E1EAC" w:rsidR="00B42BC1" w:rsidRPr="45182B08" w:rsidRDefault="00B42BC1" w:rsidP="45182B08">
            <w:pPr>
              <w:spacing w:line="259" w:lineRule="auto"/>
              <w:rPr>
                <w:rFonts w:cs="Arial"/>
              </w:rPr>
            </w:pPr>
            <w:r>
              <w:rPr>
                <w:rFonts w:cs="Arial"/>
              </w:rPr>
              <w:t>Guideline</w:t>
            </w:r>
          </w:p>
        </w:tc>
        <w:tc>
          <w:tcPr>
            <w:tcW w:w="349" w:type="pct"/>
          </w:tcPr>
          <w:p w14:paraId="7EAE15B0" w14:textId="2BBB6FFF" w:rsidR="00B42BC1" w:rsidRPr="45182B08" w:rsidRDefault="00B42BC1" w:rsidP="45182B08">
            <w:pPr>
              <w:rPr>
                <w:rFonts w:cs="Arial"/>
              </w:rPr>
            </w:pPr>
            <w:r>
              <w:rPr>
                <w:rFonts w:cs="Arial"/>
              </w:rPr>
              <w:t>7</w:t>
            </w:r>
          </w:p>
        </w:tc>
        <w:tc>
          <w:tcPr>
            <w:tcW w:w="383" w:type="pct"/>
          </w:tcPr>
          <w:p w14:paraId="778309D4" w14:textId="50C4565D" w:rsidR="00B42BC1" w:rsidRPr="45182B08" w:rsidRDefault="00B42BC1" w:rsidP="45182B08">
            <w:pPr>
              <w:rPr>
                <w:rFonts w:cs="Arial"/>
              </w:rPr>
            </w:pPr>
            <w:r>
              <w:rPr>
                <w:rFonts w:cs="Arial"/>
              </w:rPr>
              <w:t>4</w:t>
            </w:r>
          </w:p>
        </w:tc>
        <w:tc>
          <w:tcPr>
            <w:tcW w:w="3360" w:type="pct"/>
          </w:tcPr>
          <w:p w14:paraId="514CEE05" w14:textId="467ACC7E" w:rsidR="00B42BC1" w:rsidRDefault="00B42BC1" w:rsidP="00B42BC1">
            <w:pPr>
              <w:rPr>
                <w:rFonts w:ascii="Calibri" w:hAnsi="Calibri"/>
                <w:lang w:eastAsia="en-GB"/>
              </w:rPr>
            </w:pPr>
            <w:r>
              <w:rPr>
                <w:rFonts w:ascii="ArialMT" w:hAnsi="ArialMT"/>
                <w:color w:val="000000"/>
              </w:rPr>
              <w:t xml:space="preserve">A coordinated approach is </w:t>
            </w:r>
            <w:r>
              <w:rPr>
                <w:rFonts w:ascii="ArialMT" w:hAnsi="ArialMT"/>
                <w:color w:val="000000"/>
              </w:rPr>
              <w:t>extremely</w:t>
            </w:r>
            <w:r>
              <w:rPr>
                <w:rFonts w:ascii="ArialMT" w:hAnsi="ArialMT"/>
                <w:color w:val="000000"/>
              </w:rPr>
              <w:t xml:space="preserve"> important which means </w:t>
            </w:r>
            <w:r>
              <w:rPr>
                <w:rFonts w:ascii="ArialMT" w:hAnsi="ArialMT"/>
                <w:color w:val="000000"/>
              </w:rPr>
              <w:t xml:space="preserve">a move </w:t>
            </w:r>
            <w:r>
              <w:rPr>
                <w:rFonts w:ascii="ArialMT" w:hAnsi="ArialMT"/>
                <w:color w:val="000000"/>
              </w:rPr>
              <w:t>away from competition between different service providers and having a "place-based" approach to vaccination.</w:t>
            </w:r>
          </w:p>
          <w:p w14:paraId="791D04D2" w14:textId="77777777" w:rsidR="00B42BC1" w:rsidRPr="45182B08" w:rsidRDefault="00B42BC1" w:rsidP="45182B08">
            <w:pPr>
              <w:rPr>
                <w:rFonts w:cs="Arial"/>
              </w:rPr>
            </w:pPr>
          </w:p>
        </w:tc>
      </w:tr>
      <w:tr w:rsidR="004302A7" w:rsidRPr="006B094C" w14:paraId="5ABE8C27" w14:textId="77777777" w:rsidTr="45182B08">
        <w:tc>
          <w:tcPr>
            <w:tcW w:w="463" w:type="pct"/>
          </w:tcPr>
          <w:p w14:paraId="6E073A29" w14:textId="75DDB44C" w:rsidR="00661D47" w:rsidRPr="006B094C" w:rsidRDefault="00A45A89" w:rsidP="00533D9C">
            <w:pPr>
              <w:rPr>
                <w:rFonts w:cs="Arial"/>
                <w:szCs w:val="22"/>
              </w:rPr>
            </w:pPr>
            <w:r>
              <w:rPr>
                <w:rFonts w:cs="Arial"/>
                <w:szCs w:val="22"/>
              </w:rPr>
              <w:lastRenderedPageBreak/>
              <w:t>7</w:t>
            </w:r>
          </w:p>
        </w:tc>
        <w:tc>
          <w:tcPr>
            <w:tcW w:w="445" w:type="pct"/>
          </w:tcPr>
          <w:p w14:paraId="264F2976" w14:textId="0EB5EE8C" w:rsidR="00661D47" w:rsidRPr="006B094C" w:rsidRDefault="45182B08" w:rsidP="45182B08">
            <w:pPr>
              <w:spacing w:line="259" w:lineRule="auto"/>
              <w:rPr>
                <w:szCs w:val="22"/>
              </w:rPr>
            </w:pPr>
            <w:r w:rsidRPr="45182B08">
              <w:rPr>
                <w:rFonts w:cs="Arial"/>
              </w:rPr>
              <w:t>Guideline</w:t>
            </w:r>
          </w:p>
        </w:tc>
        <w:tc>
          <w:tcPr>
            <w:tcW w:w="349" w:type="pct"/>
          </w:tcPr>
          <w:p w14:paraId="45F6635E" w14:textId="7DB65A01" w:rsidR="00661D47" w:rsidRPr="006B094C" w:rsidRDefault="45182B08" w:rsidP="45182B08">
            <w:pPr>
              <w:rPr>
                <w:rFonts w:cs="Arial"/>
              </w:rPr>
            </w:pPr>
            <w:r w:rsidRPr="45182B08">
              <w:rPr>
                <w:rFonts w:cs="Arial"/>
              </w:rPr>
              <w:t>10</w:t>
            </w:r>
          </w:p>
        </w:tc>
        <w:tc>
          <w:tcPr>
            <w:tcW w:w="383" w:type="pct"/>
          </w:tcPr>
          <w:p w14:paraId="184EDC47" w14:textId="781A4F2E" w:rsidR="00661D47" w:rsidRPr="006B094C" w:rsidRDefault="45182B08" w:rsidP="45182B08">
            <w:pPr>
              <w:rPr>
                <w:rFonts w:cs="Arial"/>
              </w:rPr>
            </w:pPr>
            <w:r w:rsidRPr="45182B08">
              <w:rPr>
                <w:rFonts w:cs="Arial"/>
              </w:rPr>
              <w:t>9</w:t>
            </w:r>
          </w:p>
        </w:tc>
        <w:tc>
          <w:tcPr>
            <w:tcW w:w="3360" w:type="pct"/>
          </w:tcPr>
          <w:p w14:paraId="6FDADB5E" w14:textId="77777777" w:rsidR="00661D47" w:rsidRDefault="45182B08" w:rsidP="45182B08">
            <w:pPr>
              <w:rPr>
                <w:rFonts w:cs="Arial"/>
              </w:rPr>
            </w:pPr>
            <w:r w:rsidRPr="45182B08">
              <w:rPr>
                <w:rFonts w:cs="Arial"/>
              </w:rPr>
              <w:t>In this section about keeping records up to date there should also be a recommendation that vaccine records are shared electronically and easily accessible to anyone providing care to that individual patient across health and social care.</w:t>
            </w:r>
          </w:p>
          <w:p w14:paraId="24653C14" w14:textId="428B2A19" w:rsidR="00B42BC1" w:rsidRPr="006B094C" w:rsidRDefault="00B42BC1" w:rsidP="45182B08">
            <w:pPr>
              <w:rPr>
                <w:rFonts w:cs="Arial"/>
              </w:rPr>
            </w:pPr>
          </w:p>
        </w:tc>
      </w:tr>
      <w:tr w:rsidR="004302A7" w:rsidRPr="006B094C" w14:paraId="1FA02473" w14:textId="77777777" w:rsidTr="45182B08">
        <w:tc>
          <w:tcPr>
            <w:tcW w:w="463" w:type="pct"/>
          </w:tcPr>
          <w:p w14:paraId="5B13998B" w14:textId="130CF237" w:rsidR="00661D47" w:rsidRPr="006B094C" w:rsidRDefault="00A45A89" w:rsidP="00533D9C">
            <w:pPr>
              <w:rPr>
                <w:rFonts w:cs="Arial"/>
                <w:szCs w:val="22"/>
              </w:rPr>
            </w:pPr>
            <w:r>
              <w:rPr>
                <w:rFonts w:cs="Arial"/>
                <w:szCs w:val="22"/>
              </w:rPr>
              <w:t>8</w:t>
            </w:r>
          </w:p>
        </w:tc>
        <w:tc>
          <w:tcPr>
            <w:tcW w:w="445" w:type="pct"/>
          </w:tcPr>
          <w:p w14:paraId="19F6607C" w14:textId="2D60EF80" w:rsidR="00661D47" w:rsidRPr="006B094C" w:rsidRDefault="45182B08" w:rsidP="45182B08">
            <w:pPr>
              <w:rPr>
                <w:rFonts w:cs="Arial"/>
              </w:rPr>
            </w:pPr>
            <w:r w:rsidRPr="45182B08">
              <w:rPr>
                <w:rFonts w:cs="Arial"/>
              </w:rPr>
              <w:t>Guideline</w:t>
            </w:r>
          </w:p>
        </w:tc>
        <w:tc>
          <w:tcPr>
            <w:tcW w:w="349" w:type="pct"/>
          </w:tcPr>
          <w:p w14:paraId="1BE0399C" w14:textId="3BDC9B3A" w:rsidR="00661D47" w:rsidRPr="006B094C" w:rsidRDefault="45182B08" w:rsidP="45182B08">
            <w:pPr>
              <w:rPr>
                <w:rFonts w:cs="Arial"/>
              </w:rPr>
            </w:pPr>
            <w:r w:rsidRPr="45182B08">
              <w:rPr>
                <w:rFonts w:cs="Arial"/>
              </w:rPr>
              <w:t>11</w:t>
            </w:r>
          </w:p>
        </w:tc>
        <w:tc>
          <w:tcPr>
            <w:tcW w:w="383" w:type="pct"/>
          </w:tcPr>
          <w:p w14:paraId="040ED0DF" w14:textId="111986C3" w:rsidR="00661D47" w:rsidRPr="006B094C" w:rsidRDefault="45182B08" w:rsidP="45182B08">
            <w:pPr>
              <w:rPr>
                <w:rFonts w:cs="Arial"/>
              </w:rPr>
            </w:pPr>
            <w:r w:rsidRPr="45182B08">
              <w:rPr>
                <w:rFonts w:cs="Arial"/>
              </w:rPr>
              <w:t>21</w:t>
            </w:r>
          </w:p>
        </w:tc>
        <w:tc>
          <w:tcPr>
            <w:tcW w:w="3360" w:type="pct"/>
          </w:tcPr>
          <w:p w14:paraId="1F2E8ADC" w14:textId="77777777" w:rsidR="00661D47" w:rsidRDefault="45182B08" w:rsidP="45182B08">
            <w:pPr>
              <w:spacing w:line="259" w:lineRule="auto"/>
              <w:rPr>
                <w:rFonts w:cs="Arial"/>
              </w:rPr>
            </w:pPr>
            <w:r w:rsidRPr="45182B08">
              <w:rPr>
                <w:rFonts w:cs="Arial"/>
              </w:rPr>
              <w:t>Medicines use reviews are being phased out and will no longer be part of the community pharmacy contractual framework from April 2022. We would suggest using the term medicine review instead</w:t>
            </w:r>
          </w:p>
          <w:p w14:paraId="476F9B28" w14:textId="72B4DA7B" w:rsidR="00A45A89" w:rsidRPr="006B094C" w:rsidRDefault="00A45A89" w:rsidP="45182B08">
            <w:pPr>
              <w:spacing w:line="259" w:lineRule="auto"/>
              <w:rPr>
                <w:szCs w:val="22"/>
              </w:rPr>
            </w:pPr>
          </w:p>
        </w:tc>
      </w:tr>
    </w:tbl>
    <w:p w14:paraId="5537F941" w14:textId="77777777" w:rsidR="00A45A89" w:rsidRDefault="00A45A89" w:rsidP="00EF2ACA">
      <w:pPr>
        <w:rPr>
          <w:rFonts w:cs="Arial"/>
          <w:sz w:val="20"/>
        </w:rPr>
      </w:pPr>
    </w:p>
    <w:p w14:paraId="583ED578" w14:textId="5173740D"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31E7" w14:textId="77777777" w:rsidR="00260299" w:rsidRDefault="00260299">
      <w:r>
        <w:separator/>
      </w:r>
    </w:p>
  </w:endnote>
  <w:endnote w:type="continuationSeparator" w:id="0">
    <w:p w14:paraId="38246431" w14:textId="77777777" w:rsidR="00260299" w:rsidRDefault="00260299">
      <w:r>
        <w:continuationSeparator/>
      </w:r>
    </w:p>
  </w:endnote>
  <w:endnote w:type="continuationNotice" w:id="1">
    <w:p w14:paraId="0007EC2B" w14:textId="77777777" w:rsidR="00260299" w:rsidRDefault="00260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2D24EA5A" w:rsidR="00EE6C88" w:rsidRDefault="00EE6C88" w:rsidP="00EE6C88">
    <w:pPr>
      <w:rPr>
        <w:b/>
      </w:rPr>
    </w:pPr>
    <w:r>
      <w:rPr>
        <w:szCs w:val="22"/>
      </w:rPr>
      <w:t>Please return to:</w:t>
    </w:r>
    <w:r>
      <w:t xml:space="preserve"> </w:t>
    </w:r>
    <w:hyperlink r:id="rId1" w:history="1">
      <w:r w:rsidR="00165EE5" w:rsidRPr="0007537E">
        <w:rPr>
          <w:rStyle w:val="Hyperlink"/>
          <w:b/>
          <w:bCs/>
        </w:rPr>
        <w:t>VaccineUptake@nice.org.uk</w:t>
      </w:r>
    </w:hyperlink>
    <w:r w:rsidR="00165EE5">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D95CA" w14:textId="77777777" w:rsidR="00260299" w:rsidRDefault="00260299">
      <w:r>
        <w:separator/>
      </w:r>
    </w:p>
  </w:footnote>
  <w:footnote w:type="continuationSeparator" w:id="0">
    <w:p w14:paraId="205AD48C" w14:textId="77777777" w:rsidR="00260299" w:rsidRDefault="00260299">
      <w:r>
        <w:continuationSeparator/>
      </w:r>
    </w:p>
  </w:footnote>
  <w:footnote w:type="continuationNotice" w:id="1">
    <w:p w14:paraId="1C202F53" w14:textId="77777777" w:rsidR="00260299" w:rsidRDefault="00260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5BBA5084"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CB72D4" w:rsidRPr="00CB72D4">
      <w:t xml:space="preserve"> </w:t>
    </w:r>
    <w:r w:rsidR="00CB72D4" w:rsidRPr="00CB72D4">
      <w:rPr>
        <w:noProof/>
        <w:lang w:eastAsia="en-GB"/>
      </w:rPr>
      <w:t>Vaccine uptake in the general population</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79080583"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165EE5">
      <w:t>5:00pm</w:t>
    </w:r>
    <w:r w:rsidR="001E1D2C">
      <w:t xml:space="preserve"> </w:t>
    </w:r>
    <w:r w:rsidR="00FA4108">
      <w:rPr>
        <w:bCs w:val="0"/>
      </w:rPr>
      <w:t xml:space="preserve">on </w:t>
    </w:r>
    <w:r w:rsidR="009D0BC7">
      <w:rPr>
        <w:bCs w:val="0"/>
      </w:rPr>
      <w:t>Thursday 13</w:t>
    </w:r>
    <w:r w:rsidR="009D0BC7" w:rsidRPr="009D0BC7">
      <w:rPr>
        <w:bCs w:val="0"/>
        <w:vertAlign w:val="superscript"/>
      </w:rPr>
      <w:t>th</w:t>
    </w:r>
    <w:r w:rsidR="009D0BC7">
      <w:rPr>
        <w:bCs w:val="0"/>
      </w:rPr>
      <w:t xml:space="preserve"> January 2022 </w:t>
    </w:r>
    <w:r w:rsidR="007334BB" w:rsidRPr="00F506DC">
      <w:rPr>
        <w:bCs w:val="0"/>
      </w:rPr>
      <w:t>email:</w:t>
    </w:r>
    <w:r w:rsidR="007334BB" w:rsidRPr="00F506DC">
      <w:rPr>
        <w:b w:val="0"/>
        <w:bCs w:val="0"/>
      </w:rPr>
      <w:t xml:space="preserve"> </w:t>
    </w:r>
    <w:hyperlink r:id="rId2" w:history="1">
      <w:r w:rsidR="00165EE5" w:rsidRPr="0007537E">
        <w:rPr>
          <w:rStyle w:val="Hyperlink"/>
          <w:b w:val="0"/>
          <w:bCs w:val="0"/>
        </w:rPr>
        <w:t>VaccineUptake@nice.org.uk</w:t>
      </w:r>
    </w:hyperlink>
    <w:r w:rsidR="00165EE5">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5EE5"/>
    <w:rsid w:val="001663B1"/>
    <w:rsid w:val="00166F26"/>
    <w:rsid w:val="00172DC7"/>
    <w:rsid w:val="0018764B"/>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0299"/>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155B"/>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1EFD"/>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123B"/>
    <w:rsid w:val="009448BE"/>
    <w:rsid w:val="00944C6B"/>
    <w:rsid w:val="009524A0"/>
    <w:rsid w:val="00953727"/>
    <w:rsid w:val="00956108"/>
    <w:rsid w:val="00966357"/>
    <w:rsid w:val="00975502"/>
    <w:rsid w:val="009842EE"/>
    <w:rsid w:val="0099379D"/>
    <w:rsid w:val="009A4CD2"/>
    <w:rsid w:val="009B4963"/>
    <w:rsid w:val="009B7261"/>
    <w:rsid w:val="009D0BC7"/>
    <w:rsid w:val="009D0DDF"/>
    <w:rsid w:val="009D7079"/>
    <w:rsid w:val="009E26F6"/>
    <w:rsid w:val="009E7AF2"/>
    <w:rsid w:val="00A10B99"/>
    <w:rsid w:val="00A201B2"/>
    <w:rsid w:val="00A23948"/>
    <w:rsid w:val="00A4033C"/>
    <w:rsid w:val="00A45A89"/>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42BC1"/>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B72D4"/>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 w:val="4518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59793">
      <w:bodyDiv w:val="1"/>
      <w:marLeft w:val="0"/>
      <w:marRight w:val="0"/>
      <w:marTop w:val="0"/>
      <w:marBottom w:val="0"/>
      <w:divBdr>
        <w:top w:val="none" w:sz="0" w:space="0" w:color="auto"/>
        <w:left w:val="none" w:sz="0" w:space="0" w:color="auto"/>
        <w:bottom w:val="none" w:sz="0" w:space="0" w:color="auto"/>
        <w:right w:val="none" w:sz="0" w:space="0" w:color="auto"/>
      </w:divBdr>
    </w:div>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76979453">
      <w:bodyDiv w:val="1"/>
      <w:marLeft w:val="0"/>
      <w:marRight w:val="0"/>
      <w:marTop w:val="0"/>
      <w:marBottom w:val="0"/>
      <w:divBdr>
        <w:top w:val="none" w:sz="0" w:space="0" w:color="auto"/>
        <w:left w:val="none" w:sz="0" w:space="0" w:color="auto"/>
        <w:bottom w:val="none" w:sz="0" w:space="0" w:color="auto"/>
        <w:right w:val="none" w:sz="0" w:space="0" w:color="auto"/>
      </w:divBdr>
    </w:div>
    <w:div w:id="1422288789">
      <w:bodyDiv w:val="1"/>
      <w:marLeft w:val="0"/>
      <w:marRight w:val="0"/>
      <w:marTop w:val="0"/>
      <w:marBottom w:val="0"/>
      <w:divBdr>
        <w:top w:val="none" w:sz="0" w:space="0" w:color="auto"/>
        <w:left w:val="none" w:sz="0" w:space="0" w:color="auto"/>
        <w:bottom w:val="none" w:sz="0" w:space="0" w:color="auto"/>
        <w:right w:val="none" w:sz="0" w:space="0" w:color="auto"/>
      </w:divBdr>
    </w:div>
    <w:div w:id="1849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accineUptak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VaccineUptak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Heidi Wright</cp:lastModifiedBy>
  <cp:revision>2</cp:revision>
  <cp:lastPrinted>2005-11-01T09:30:00Z</cp:lastPrinted>
  <dcterms:created xsi:type="dcterms:W3CDTF">2022-01-12T15:36:00Z</dcterms:created>
  <dcterms:modified xsi:type="dcterms:W3CDTF">2022-01-12T15:36:00Z</dcterms:modified>
</cp:coreProperties>
</file>